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6"/>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一、沧州临港经济技术开发区行政审批局本级收支预算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一、沧州临港经济技术开发区行政审批局本级收支预算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3"/>
            </w:pPr>
            <w:r>
              <w:t>434001沧州临港经济技术开发区行政审批局本级</w:t>
            </w:r>
          </w:p>
        </w:tc>
        <w:tc>
          <w:tcPr>
            <w:tcW w:w="2126" w:type="dxa"/>
            <w:tcBorders>
              <w:top w:val="single" w:color="FFFFFF" w:sz="6" w:space="0"/>
              <w:left w:val="single" w:color="FFFFFF" w:sz="6" w:space="0"/>
              <w:right w:val="single" w:color="FFFFFF" w:sz="6" w:space="0"/>
            </w:tcBorders>
            <w:vAlign w:val="center"/>
          </w:tcPr>
          <w:p>
            <w:pPr>
              <w:pStyle w:val="12"/>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457.87</w:t>
            </w:r>
          </w:p>
        </w:tc>
        <w:tc>
          <w:tcPr>
            <w:tcW w:w="4535" w:type="dxa"/>
            <w:vAlign w:val="center"/>
          </w:tcPr>
          <w:p>
            <w:pPr>
              <w:pStyle w:val="16"/>
            </w:pPr>
            <w:r>
              <w:t>一、一般公共服务支出</w:t>
            </w:r>
          </w:p>
        </w:tc>
        <w:tc>
          <w:tcPr>
            <w:tcW w:w="2126" w:type="dxa"/>
            <w:vAlign w:val="center"/>
          </w:tcPr>
          <w:p>
            <w:pPr>
              <w:pStyle w:val="15"/>
            </w:pPr>
            <w:r>
              <w:t>425.44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五、单位资金</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32.43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457.87</w:t>
            </w:r>
          </w:p>
        </w:tc>
        <w:tc>
          <w:tcPr>
            <w:tcW w:w="4535" w:type="dxa"/>
            <w:vAlign w:val="center"/>
          </w:tcPr>
          <w:p>
            <w:pPr>
              <w:pStyle w:val="18"/>
            </w:pPr>
            <w:r>
              <w:t>本年支出合计</w:t>
            </w:r>
          </w:p>
        </w:tc>
        <w:tc>
          <w:tcPr>
            <w:tcW w:w="2126" w:type="dxa"/>
            <w:vAlign w:val="center"/>
          </w:tcPr>
          <w:p>
            <w:pPr>
              <w:pStyle w:val="19"/>
            </w:pPr>
            <w:r>
              <w:t>457.87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457.87</w:t>
            </w:r>
          </w:p>
        </w:tc>
        <w:tc>
          <w:tcPr>
            <w:tcW w:w="4535" w:type="dxa"/>
            <w:vAlign w:val="center"/>
          </w:tcPr>
          <w:p>
            <w:pPr>
              <w:pStyle w:val="18"/>
            </w:pPr>
            <w:r>
              <w:t>支出总计</w:t>
            </w:r>
          </w:p>
        </w:tc>
        <w:tc>
          <w:tcPr>
            <w:tcW w:w="2126" w:type="dxa"/>
            <w:vAlign w:val="center"/>
          </w:tcPr>
          <w:p>
            <w:pPr>
              <w:pStyle w:val="19"/>
            </w:pPr>
            <w:r>
              <w:t>457.87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434001沧州临港经济技术开发区行政审批局本级</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2"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457.87</w:t>
            </w:r>
          </w:p>
        </w:tc>
        <w:tc>
          <w:tcPr>
            <w:tcW w:w="1134" w:type="dxa"/>
            <w:vAlign w:val="center"/>
          </w:tcPr>
          <w:p>
            <w:pPr>
              <w:pStyle w:val="19"/>
            </w:pPr>
            <w:r>
              <w:t>457.87</w:t>
            </w:r>
          </w:p>
        </w:tc>
        <w:tc>
          <w:tcPr>
            <w:tcW w:w="1134" w:type="dxa"/>
            <w:vAlign w:val="center"/>
          </w:tcPr>
          <w:p>
            <w:pPr>
              <w:pStyle w:val="19"/>
            </w:pPr>
            <w:r>
              <w:t>457.87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vAlign w:val="center"/>
          </w:tcPr>
          <w:p>
            <w:pPr>
              <w:pStyle w:val="15"/>
            </w:pPr>
            <w:r>
              <w:t>425.44</w:t>
            </w:r>
          </w:p>
        </w:tc>
        <w:tc>
          <w:tcPr>
            <w:tcW w:w="1134" w:type="dxa"/>
            <w:vAlign w:val="center"/>
          </w:tcPr>
          <w:p>
            <w:pPr>
              <w:pStyle w:val="15"/>
            </w:pPr>
            <w:r>
              <w:t>425.44</w:t>
            </w:r>
          </w:p>
        </w:tc>
        <w:tc>
          <w:tcPr>
            <w:tcW w:w="1134" w:type="dxa"/>
            <w:vAlign w:val="center"/>
          </w:tcPr>
          <w:p>
            <w:pPr>
              <w:pStyle w:val="15"/>
            </w:pPr>
            <w:r>
              <w:t>425.44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20103</w:t>
            </w:r>
          </w:p>
        </w:tc>
        <w:tc>
          <w:tcPr>
            <w:tcW w:w="1559" w:type="dxa"/>
            <w:vAlign w:val="center"/>
          </w:tcPr>
          <w:p>
            <w:pPr>
              <w:pStyle w:val="16"/>
            </w:pPr>
            <w:r>
              <w:t>政府办公厅（室）及相关机构事务</w:t>
            </w:r>
          </w:p>
        </w:tc>
        <w:tc>
          <w:tcPr>
            <w:tcW w:w="1134" w:type="dxa"/>
            <w:vAlign w:val="center"/>
          </w:tcPr>
          <w:p>
            <w:pPr>
              <w:pStyle w:val="15"/>
            </w:pPr>
            <w:r>
              <w:t>425.44</w:t>
            </w:r>
          </w:p>
        </w:tc>
        <w:tc>
          <w:tcPr>
            <w:tcW w:w="1134" w:type="dxa"/>
            <w:vAlign w:val="center"/>
          </w:tcPr>
          <w:p>
            <w:pPr>
              <w:pStyle w:val="15"/>
            </w:pPr>
            <w:r>
              <w:t>425.44</w:t>
            </w:r>
          </w:p>
        </w:tc>
        <w:tc>
          <w:tcPr>
            <w:tcW w:w="1134" w:type="dxa"/>
            <w:vAlign w:val="center"/>
          </w:tcPr>
          <w:p>
            <w:pPr>
              <w:pStyle w:val="15"/>
            </w:pPr>
            <w:r>
              <w:t>425.44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2010301</w:t>
            </w:r>
          </w:p>
        </w:tc>
        <w:tc>
          <w:tcPr>
            <w:tcW w:w="1559" w:type="dxa"/>
            <w:vAlign w:val="center"/>
          </w:tcPr>
          <w:p>
            <w:pPr>
              <w:pStyle w:val="16"/>
            </w:pPr>
            <w:r>
              <w:t>行政运行</w:t>
            </w:r>
          </w:p>
        </w:tc>
        <w:tc>
          <w:tcPr>
            <w:tcW w:w="1134" w:type="dxa"/>
            <w:vAlign w:val="center"/>
          </w:tcPr>
          <w:p>
            <w:pPr>
              <w:pStyle w:val="15"/>
            </w:pPr>
            <w:r>
              <w:t>370.44</w:t>
            </w:r>
          </w:p>
        </w:tc>
        <w:tc>
          <w:tcPr>
            <w:tcW w:w="1134" w:type="dxa"/>
            <w:vAlign w:val="center"/>
          </w:tcPr>
          <w:p>
            <w:pPr>
              <w:pStyle w:val="15"/>
            </w:pPr>
            <w:r>
              <w:t>370.44</w:t>
            </w:r>
          </w:p>
        </w:tc>
        <w:tc>
          <w:tcPr>
            <w:tcW w:w="1134" w:type="dxa"/>
            <w:vAlign w:val="center"/>
          </w:tcPr>
          <w:p>
            <w:pPr>
              <w:pStyle w:val="15"/>
            </w:pPr>
            <w:r>
              <w:t>370.44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2010302</w:t>
            </w:r>
          </w:p>
        </w:tc>
        <w:tc>
          <w:tcPr>
            <w:tcW w:w="1559" w:type="dxa"/>
            <w:vAlign w:val="center"/>
          </w:tcPr>
          <w:p>
            <w:pPr>
              <w:pStyle w:val="16"/>
            </w:pPr>
            <w:r>
              <w:t>一般行政管理事务</w:t>
            </w:r>
          </w:p>
        </w:tc>
        <w:tc>
          <w:tcPr>
            <w:tcW w:w="1134" w:type="dxa"/>
            <w:vAlign w:val="center"/>
          </w:tcPr>
          <w:p>
            <w:pPr>
              <w:pStyle w:val="15"/>
            </w:pPr>
            <w:r>
              <w:t>55.00</w:t>
            </w:r>
          </w:p>
        </w:tc>
        <w:tc>
          <w:tcPr>
            <w:tcW w:w="1134" w:type="dxa"/>
            <w:vAlign w:val="center"/>
          </w:tcPr>
          <w:p>
            <w:pPr>
              <w:pStyle w:val="15"/>
            </w:pPr>
            <w:r>
              <w:t>55.00</w:t>
            </w:r>
          </w:p>
        </w:tc>
        <w:tc>
          <w:tcPr>
            <w:tcW w:w="1134" w:type="dxa"/>
            <w:vAlign w:val="center"/>
          </w:tcPr>
          <w:p>
            <w:pPr>
              <w:pStyle w:val="15"/>
            </w:pPr>
            <w:r>
              <w:t>55.00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32.43</w:t>
            </w:r>
          </w:p>
        </w:tc>
        <w:tc>
          <w:tcPr>
            <w:tcW w:w="1134" w:type="dxa"/>
            <w:vAlign w:val="center"/>
          </w:tcPr>
          <w:p>
            <w:pPr>
              <w:pStyle w:val="15"/>
            </w:pPr>
            <w:r>
              <w:t>32.43</w:t>
            </w:r>
          </w:p>
        </w:tc>
        <w:tc>
          <w:tcPr>
            <w:tcW w:w="1134" w:type="dxa"/>
            <w:vAlign w:val="center"/>
          </w:tcPr>
          <w:p>
            <w:pPr>
              <w:pStyle w:val="15"/>
            </w:pPr>
            <w:r>
              <w:t>32.43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32.43</w:t>
            </w:r>
          </w:p>
        </w:tc>
        <w:tc>
          <w:tcPr>
            <w:tcW w:w="1134" w:type="dxa"/>
            <w:vAlign w:val="center"/>
          </w:tcPr>
          <w:p>
            <w:pPr>
              <w:pStyle w:val="15"/>
            </w:pPr>
            <w:r>
              <w:t>32.43</w:t>
            </w:r>
          </w:p>
        </w:tc>
        <w:tc>
          <w:tcPr>
            <w:tcW w:w="1134" w:type="dxa"/>
            <w:vAlign w:val="center"/>
          </w:tcPr>
          <w:p>
            <w:pPr>
              <w:pStyle w:val="15"/>
            </w:pPr>
            <w:r>
              <w:t>32.43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32.43</w:t>
            </w:r>
          </w:p>
        </w:tc>
        <w:tc>
          <w:tcPr>
            <w:tcW w:w="1134" w:type="dxa"/>
            <w:vAlign w:val="center"/>
          </w:tcPr>
          <w:p>
            <w:pPr>
              <w:pStyle w:val="15"/>
            </w:pPr>
            <w:r>
              <w:t>32.43</w:t>
            </w:r>
          </w:p>
        </w:tc>
        <w:tc>
          <w:tcPr>
            <w:tcW w:w="1134" w:type="dxa"/>
            <w:vAlign w:val="center"/>
          </w:tcPr>
          <w:p>
            <w:pPr>
              <w:pStyle w:val="15"/>
            </w:pPr>
            <w:r>
              <w:t>32.43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3"/>
            </w:pPr>
            <w:r>
              <w:t>434001沧州临港经济技术开发区行政审批局本级</w:t>
            </w:r>
          </w:p>
        </w:tc>
        <w:tc>
          <w:tcPr>
            <w:tcW w:w="2722" w:type="dxa"/>
            <w:gridSpan w:val="2"/>
            <w:tcBorders>
              <w:top w:val="single" w:color="FFFFFF" w:sz="6" w:space="0"/>
              <w:left w:val="single" w:color="FFFFFF" w:sz="6" w:space="0"/>
              <w:right w:val="single" w:color="FFFFFF" w:sz="6" w:space="0"/>
            </w:tcBorders>
            <w:vAlign w:val="center"/>
          </w:tcPr>
          <w:p>
            <w:pPr>
              <w:pStyle w:val="12"/>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7"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457.87</w:t>
            </w:r>
          </w:p>
        </w:tc>
        <w:tc>
          <w:tcPr>
            <w:tcW w:w="1361" w:type="dxa"/>
            <w:vAlign w:val="center"/>
          </w:tcPr>
          <w:p>
            <w:pPr>
              <w:pStyle w:val="19"/>
            </w:pPr>
            <w:r>
              <w:t>402.87</w:t>
            </w:r>
          </w:p>
        </w:tc>
        <w:tc>
          <w:tcPr>
            <w:tcW w:w="1361" w:type="dxa"/>
            <w:vAlign w:val="center"/>
          </w:tcPr>
          <w:p>
            <w:pPr>
              <w:pStyle w:val="19"/>
            </w:pPr>
            <w:r>
              <w:t>55.00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t>一般公共服务支出</w:t>
            </w:r>
          </w:p>
        </w:tc>
        <w:tc>
          <w:tcPr>
            <w:tcW w:w="1361" w:type="dxa"/>
            <w:vAlign w:val="center"/>
          </w:tcPr>
          <w:p>
            <w:pPr>
              <w:pStyle w:val="15"/>
            </w:pPr>
            <w:r>
              <w:t>425.44</w:t>
            </w:r>
          </w:p>
        </w:tc>
        <w:tc>
          <w:tcPr>
            <w:tcW w:w="1361" w:type="dxa"/>
            <w:vAlign w:val="center"/>
          </w:tcPr>
          <w:p>
            <w:pPr>
              <w:pStyle w:val="15"/>
            </w:pPr>
            <w:r>
              <w:t>370.44</w:t>
            </w:r>
          </w:p>
        </w:tc>
        <w:tc>
          <w:tcPr>
            <w:tcW w:w="1361" w:type="dxa"/>
            <w:vAlign w:val="center"/>
          </w:tcPr>
          <w:p>
            <w:pPr>
              <w:pStyle w:val="15"/>
            </w:pPr>
            <w:r>
              <w:t>55.00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20103</w:t>
            </w:r>
          </w:p>
        </w:tc>
        <w:tc>
          <w:tcPr>
            <w:tcW w:w="4535" w:type="dxa"/>
            <w:vAlign w:val="center"/>
          </w:tcPr>
          <w:p>
            <w:pPr>
              <w:pStyle w:val="16"/>
            </w:pPr>
            <w:r>
              <w:t>政府办公厅（室）及相关机构事务</w:t>
            </w:r>
          </w:p>
        </w:tc>
        <w:tc>
          <w:tcPr>
            <w:tcW w:w="1361" w:type="dxa"/>
            <w:vAlign w:val="center"/>
          </w:tcPr>
          <w:p>
            <w:pPr>
              <w:pStyle w:val="15"/>
            </w:pPr>
            <w:r>
              <w:t>425.44</w:t>
            </w:r>
          </w:p>
        </w:tc>
        <w:tc>
          <w:tcPr>
            <w:tcW w:w="1361" w:type="dxa"/>
            <w:vAlign w:val="center"/>
          </w:tcPr>
          <w:p>
            <w:pPr>
              <w:pStyle w:val="15"/>
            </w:pPr>
            <w:r>
              <w:t>370.44</w:t>
            </w:r>
          </w:p>
        </w:tc>
        <w:tc>
          <w:tcPr>
            <w:tcW w:w="1361" w:type="dxa"/>
            <w:vAlign w:val="center"/>
          </w:tcPr>
          <w:p>
            <w:pPr>
              <w:pStyle w:val="15"/>
            </w:pPr>
            <w:r>
              <w:t>55.00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2010301</w:t>
            </w:r>
          </w:p>
        </w:tc>
        <w:tc>
          <w:tcPr>
            <w:tcW w:w="4535" w:type="dxa"/>
            <w:vAlign w:val="center"/>
          </w:tcPr>
          <w:p>
            <w:pPr>
              <w:pStyle w:val="16"/>
            </w:pPr>
            <w:r>
              <w:t>行政运行</w:t>
            </w:r>
          </w:p>
        </w:tc>
        <w:tc>
          <w:tcPr>
            <w:tcW w:w="1361" w:type="dxa"/>
            <w:vAlign w:val="center"/>
          </w:tcPr>
          <w:p>
            <w:pPr>
              <w:pStyle w:val="15"/>
            </w:pPr>
            <w:r>
              <w:t>370.44</w:t>
            </w:r>
          </w:p>
        </w:tc>
        <w:tc>
          <w:tcPr>
            <w:tcW w:w="1361" w:type="dxa"/>
            <w:vAlign w:val="center"/>
          </w:tcPr>
          <w:p>
            <w:pPr>
              <w:pStyle w:val="15"/>
            </w:pPr>
            <w:r>
              <w:t>370.44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2010302</w:t>
            </w:r>
          </w:p>
        </w:tc>
        <w:tc>
          <w:tcPr>
            <w:tcW w:w="4535" w:type="dxa"/>
            <w:vAlign w:val="center"/>
          </w:tcPr>
          <w:p>
            <w:pPr>
              <w:pStyle w:val="16"/>
            </w:pPr>
            <w:r>
              <w:t>一般行政管理事务</w:t>
            </w:r>
          </w:p>
        </w:tc>
        <w:tc>
          <w:tcPr>
            <w:tcW w:w="1361" w:type="dxa"/>
            <w:vAlign w:val="center"/>
          </w:tcPr>
          <w:p>
            <w:pPr>
              <w:pStyle w:val="15"/>
            </w:pPr>
            <w:r>
              <w:t>55.00</w:t>
            </w:r>
          </w:p>
        </w:tc>
        <w:tc>
          <w:tcPr>
            <w:tcW w:w="1361" w:type="dxa"/>
            <w:vAlign w:val="center"/>
          </w:tcPr>
          <w:p>
            <w:pPr>
              <w:pStyle w:val="15"/>
            </w:pPr>
          </w:p>
        </w:tc>
        <w:tc>
          <w:tcPr>
            <w:tcW w:w="1361" w:type="dxa"/>
            <w:vAlign w:val="center"/>
          </w:tcPr>
          <w:p>
            <w:pPr>
              <w:pStyle w:val="15"/>
            </w:pPr>
            <w:r>
              <w:t>55.00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32.43</w:t>
            </w:r>
          </w:p>
        </w:tc>
        <w:tc>
          <w:tcPr>
            <w:tcW w:w="1361" w:type="dxa"/>
            <w:vAlign w:val="center"/>
          </w:tcPr>
          <w:p>
            <w:pPr>
              <w:pStyle w:val="15"/>
            </w:pPr>
            <w:r>
              <w:t>32.43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32.43</w:t>
            </w:r>
          </w:p>
        </w:tc>
        <w:tc>
          <w:tcPr>
            <w:tcW w:w="1361" w:type="dxa"/>
            <w:vAlign w:val="center"/>
          </w:tcPr>
          <w:p>
            <w:pPr>
              <w:pStyle w:val="15"/>
            </w:pPr>
            <w:r>
              <w:t>32.43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32.43</w:t>
            </w:r>
          </w:p>
        </w:tc>
        <w:tc>
          <w:tcPr>
            <w:tcW w:w="1361" w:type="dxa"/>
            <w:vAlign w:val="center"/>
          </w:tcPr>
          <w:p>
            <w:pPr>
              <w:pStyle w:val="15"/>
            </w:pPr>
            <w:r>
              <w:t>32.43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434001沧州临港经济技术开发区行政审批局本级</w:t>
            </w:r>
          </w:p>
        </w:tc>
        <w:tc>
          <w:tcPr>
            <w:tcW w:w="3402" w:type="dxa"/>
            <w:tcBorders>
              <w:top w:val="single" w:color="FFFFFF" w:sz="6" w:space="0"/>
              <w:left w:val="single" w:color="FFFFFF" w:sz="6" w:space="0"/>
              <w:right w:val="single" w:color="FFFFFF" w:sz="6" w:space="0"/>
            </w:tcBorders>
            <w:vAlign w:val="center"/>
          </w:tcPr>
          <w:p>
            <w:pPr>
              <w:pStyle w:val="12"/>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457.87</w:t>
            </w:r>
          </w:p>
        </w:tc>
        <w:tc>
          <w:tcPr>
            <w:tcW w:w="3402" w:type="dxa"/>
            <w:vAlign w:val="center"/>
          </w:tcPr>
          <w:p>
            <w:pPr>
              <w:pStyle w:val="16"/>
            </w:pPr>
            <w:r>
              <w:t>一、一般公共服务支出</w:t>
            </w:r>
          </w:p>
        </w:tc>
        <w:tc>
          <w:tcPr>
            <w:tcW w:w="1474" w:type="dxa"/>
            <w:vAlign w:val="center"/>
          </w:tcPr>
          <w:p>
            <w:pPr>
              <w:pStyle w:val="15"/>
            </w:pPr>
            <w:r>
              <w:t>425.44</w:t>
            </w:r>
          </w:p>
        </w:tc>
        <w:tc>
          <w:tcPr>
            <w:tcW w:w="1474" w:type="dxa"/>
            <w:vAlign w:val="center"/>
          </w:tcPr>
          <w:p>
            <w:pPr>
              <w:pStyle w:val="15"/>
            </w:pPr>
            <w:r>
              <w:t>425.44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32.43</w:t>
            </w:r>
          </w:p>
        </w:tc>
        <w:tc>
          <w:tcPr>
            <w:tcW w:w="1474" w:type="dxa"/>
            <w:vAlign w:val="center"/>
          </w:tcPr>
          <w:p>
            <w:pPr>
              <w:pStyle w:val="15"/>
            </w:pPr>
            <w:r>
              <w:t>32.43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457.87</w:t>
            </w:r>
          </w:p>
        </w:tc>
        <w:tc>
          <w:tcPr>
            <w:tcW w:w="3402" w:type="dxa"/>
            <w:vAlign w:val="center"/>
          </w:tcPr>
          <w:p>
            <w:pPr>
              <w:pStyle w:val="18"/>
            </w:pPr>
            <w:r>
              <w:t>本年支出合计</w:t>
            </w:r>
          </w:p>
        </w:tc>
        <w:tc>
          <w:tcPr>
            <w:tcW w:w="1474" w:type="dxa"/>
            <w:vAlign w:val="center"/>
          </w:tcPr>
          <w:p>
            <w:pPr>
              <w:pStyle w:val="19"/>
            </w:pPr>
            <w:r>
              <w:t>457.87</w:t>
            </w:r>
          </w:p>
        </w:tc>
        <w:tc>
          <w:tcPr>
            <w:tcW w:w="1474" w:type="dxa"/>
            <w:vAlign w:val="center"/>
          </w:tcPr>
          <w:p>
            <w:pPr>
              <w:pStyle w:val="19"/>
            </w:pPr>
            <w:r>
              <w:t>457.87</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457.87</w:t>
            </w:r>
          </w:p>
        </w:tc>
        <w:tc>
          <w:tcPr>
            <w:tcW w:w="3402" w:type="dxa"/>
            <w:vAlign w:val="center"/>
          </w:tcPr>
          <w:p>
            <w:pPr>
              <w:pStyle w:val="18"/>
            </w:pPr>
            <w:r>
              <w:t>支出总计</w:t>
            </w:r>
          </w:p>
        </w:tc>
        <w:tc>
          <w:tcPr>
            <w:tcW w:w="1474" w:type="dxa"/>
            <w:vAlign w:val="center"/>
          </w:tcPr>
          <w:p>
            <w:pPr>
              <w:pStyle w:val="19"/>
            </w:pPr>
            <w:r>
              <w:t>457.87</w:t>
            </w:r>
          </w:p>
        </w:tc>
        <w:tc>
          <w:tcPr>
            <w:tcW w:w="1474" w:type="dxa"/>
            <w:vAlign w:val="center"/>
          </w:tcPr>
          <w:p>
            <w:pPr>
              <w:pStyle w:val="19"/>
            </w:pPr>
            <w:r>
              <w:t>457.87</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434001沧州临港经济技术开发区行政审批局本级</w:t>
            </w:r>
          </w:p>
        </w:tc>
        <w:tc>
          <w:tcPr>
            <w:tcW w:w="2551" w:type="dxa"/>
            <w:tcBorders>
              <w:top w:val="single" w:color="FFFFFF" w:sz="6" w:space="0"/>
              <w:left w:val="single" w:color="FFFFFF" w:sz="6" w:space="0"/>
              <w:right w:val="single" w:color="FFFFFF" w:sz="6" w:space="0"/>
            </w:tcBorders>
            <w:vAlign w:val="center"/>
          </w:tcPr>
          <w:p>
            <w:pPr>
              <w:pStyle w:val="12"/>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457.87</w:t>
            </w:r>
          </w:p>
        </w:tc>
        <w:tc>
          <w:tcPr>
            <w:tcW w:w="2551" w:type="dxa"/>
            <w:vAlign w:val="center"/>
          </w:tcPr>
          <w:p>
            <w:pPr>
              <w:pStyle w:val="19"/>
            </w:pPr>
            <w:r>
              <w:t>402.87</w:t>
            </w:r>
          </w:p>
        </w:tc>
        <w:tc>
          <w:tcPr>
            <w:tcW w:w="2551" w:type="dxa"/>
            <w:vAlign w:val="center"/>
          </w:tcPr>
          <w:p>
            <w:pPr>
              <w:pStyle w:val="19"/>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vAlign w:val="center"/>
          </w:tcPr>
          <w:p>
            <w:pPr>
              <w:pStyle w:val="15"/>
            </w:pPr>
            <w:r>
              <w:t>425.44</w:t>
            </w:r>
          </w:p>
        </w:tc>
        <w:tc>
          <w:tcPr>
            <w:tcW w:w="2551" w:type="dxa"/>
            <w:vAlign w:val="center"/>
          </w:tcPr>
          <w:p>
            <w:pPr>
              <w:pStyle w:val="15"/>
            </w:pPr>
            <w:r>
              <w:t>370.44</w:t>
            </w:r>
          </w:p>
        </w:tc>
        <w:tc>
          <w:tcPr>
            <w:tcW w:w="2551" w:type="dxa"/>
            <w:vAlign w:val="center"/>
          </w:tcPr>
          <w:p>
            <w:pPr>
              <w:pStyle w:val="15"/>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20103</w:t>
            </w:r>
          </w:p>
        </w:tc>
        <w:tc>
          <w:tcPr>
            <w:tcW w:w="4535" w:type="dxa"/>
            <w:vAlign w:val="center"/>
          </w:tcPr>
          <w:p>
            <w:pPr>
              <w:pStyle w:val="16"/>
            </w:pPr>
            <w:r>
              <w:t>政府办公厅（室）及相关机构事务</w:t>
            </w:r>
          </w:p>
        </w:tc>
        <w:tc>
          <w:tcPr>
            <w:tcW w:w="2551" w:type="dxa"/>
            <w:vAlign w:val="center"/>
          </w:tcPr>
          <w:p>
            <w:pPr>
              <w:pStyle w:val="15"/>
            </w:pPr>
            <w:r>
              <w:t>425.44</w:t>
            </w:r>
          </w:p>
        </w:tc>
        <w:tc>
          <w:tcPr>
            <w:tcW w:w="2551" w:type="dxa"/>
            <w:vAlign w:val="center"/>
          </w:tcPr>
          <w:p>
            <w:pPr>
              <w:pStyle w:val="15"/>
            </w:pPr>
            <w:r>
              <w:t>370.44</w:t>
            </w:r>
          </w:p>
        </w:tc>
        <w:tc>
          <w:tcPr>
            <w:tcW w:w="2551" w:type="dxa"/>
            <w:vAlign w:val="center"/>
          </w:tcPr>
          <w:p>
            <w:pPr>
              <w:pStyle w:val="15"/>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2010301</w:t>
            </w:r>
          </w:p>
        </w:tc>
        <w:tc>
          <w:tcPr>
            <w:tcW w:w="4535" w:type="dxa"/>
            <w:vAlign w:val="center"/>
          </w:tcPr>
          <w:p>
            <w:pPr>
              <w:pStyle w:val="16"/>
            </w:pPr>
            <w:r>
              <w:t>行政运行</w:t>
            </w:r>
          </w:p>
        </w:tc>
        <w:tc>
          <w:tcPr>
            <w:tcW w:w="2551" w:type="dxa"/>
            <w:vAlign w:val="center"/>
          </w:tcPr>
          <w:p>
            <w:pPr>
              <w:pStyle w:val="15"/>
            </w:pPr>
            <w:r>
              <w:t>370.44</w:t>
            </w:r>
          </w:p>
        </w:tc>
        <w:tc>
          <w:tcPr>
            <w:tcW w:w="2551" w:type="dxa"/>
            <w:vAlign w:val="center"/>
          </w:tcPr>
          <w:p>
            <w:pPr>
              <w:pStyle w:val="15"/>
            </w:pPr>
            <w:r>
              <w:t>370.44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2010302</w:t>
            </w:r>
          </w:p>
        </w:tc>
        <w:tc>
          <w:tcPr>
            <w:tcW w:w="4535" w:type="dxa"/>
            <w:vAlign w:val="center"/>
          </w:tcPr>
          <w:p>
            <w:pPr>
              <w:pStyle w:val="16"/>
            </w:pPr>
            <w:r>
              <w:t>一般行政管理事务</w:t>
            </w:r>
          </w:p>
        </w:tc>
        <w:tc>
          <w:tcPr>
            <w:tcW w:w="2551" w:type="dxa"/>
            <w:vAlign w:val="center"/>
          </w:tcPr>
          <w:p>
            <w:pPr>
              <w:pStyle w:val="15"/>
            </w:pPr>
            <w:r>
              <w:t>55.00</w:t>
            </w:r>
          </w:p>
        </w:tc>
        <w:tc>
          <w:tcPr>
            <w:tcW w:w="2551" w:type="dxa"/>
            <w:vAlign w:val="center"/>
          </w:tcPr>
          <w:p>
            <w:pPr>
              <w:pStyle w:val="15"/>
            </w:pPr>
          </w:p>
        </w:tc>
        <w:tc>
          <w:tcPr>
            <w:tcW w:w="2551" w:type="dxa"/>
            <w:vAlign w:val="center"/>
          </w:tcPr>
          <w:p>
            <w:pPr>
              <w:pStyle w:val="15"/>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32.43</w:t>
            </w:r>
          </w:p>
        </w:tc>
        <w:tc>
          <w:tcPr>
            <w:tcW w:w="2551" w:type="dxa"/>
            <w:vAlign w:val="center"/>
          </w:tcPr>
          <w:p>
            <w:pPr>
              <w:pStyle w:val="15"/>
            </w:pPr>
            <w:r>
              <w:t>32.43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32.43</w:t>
            </w:r>
          </w:p>
        </w:tc>
        <w:tc>
          <w:tcPr>
            <w:tcW w:w="2551" w:type="dxa"/>
            <w:vAlign w:val="center"/>
          </w:tcPr>
          <w:p>
            <w:pPr>
              <w:pStyle w:val="15"/>
            </w:pPr>
            <w:r>
              <w:t>32.43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32.43</w:t>
            </w:r>
          </w:p>
        </w:tc>
        <w:tc>
          <w:tcPr>
            <w:tcW w:w="2551" w:type="dxa"/>
            <w:vAlign w:val="center"/>
          </w:tcPr>
          <w:p>
            <w:pPr>
              <w:pStyle w:val="15"/>
            </w:pPr>
            <w:r>
              <w:t>32.43</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434001沧州临港经济技术开发区行政审批局本级</w:t>
            </w:r>
          </w:p>
        </w:tc>
        <w:tc>
          <w:tcPr>
            <w:tcW w:w="2551" w:type="dxa"/>
            <w:tcBorders>
              <w:top w:val="single" w:color="FFFFFF" w:sz="6" w:space="0"/>
              <w:left w:val="single" w:color="FFFFFF" w:sz="6" w:space="0"/>
              <w:right w:val="single" w:color="FFFFFF" w:sz="6" w:space="0"/>
            </w:tcBorders>
            <w:vAlign w:val="center"/>
          </w:tcPr>
          <w:p>
            <w:pPr>
              <w:pStyle w:val="12"/>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3"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402.87</w:t>
            </w:r>
          </w:p>
        </w:tc>
        <w:tc>
          <w:tcPr>
            <w:tcW w:w="2551" w:type="dxa"/>
            <w:vAlign w:val="center"/>
          </w:tcPr>
          <w:p>
            <w:pPr>
              <w:pStyle w:val="19"/>
            </w:pPr>
            <w:r>
              <w:t>397.21</w:t>
            </w:r>
          </w:p>
        </w:tc>
        <w:tc>
          <w:tcPr>
            <w:tcW w:w="2551" w:type="dxa"/>
            <w:vAlign w:val="center"/>
          </w:tcPr>
          <w:p>
            <w:pPr>
              <w:pStyle w:val="19"/>
            </w:pPr>
            <w:r>
              <w:t>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397.21</w:t>
            </w:r>
          </w:p>
        </w:tc>
        <w:tc>
          <w:tcPr>
            <w:tcW w:w="2551" w:type="dxa"/>
            <w:vAlign w:val="center"/>
          </w:tcPr>
          <w:p>
            <w:pPr>
              <w:pStyle w:val="15"/>
            </w:pPr>
            <w:r>
              <w:t>397.21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68.53</w:t>
            </w:r>
          </w:p>
        </w:tc>
        <w:tc>
          <w:tcPr>
            <w:tcW w:w="2551" w:type="dxa"/>
            <w:vAlign w:val="center"/>
          </w:tcPr>
          <w:p>
            <w:pPr>
              <w:pStyle w:val="15"/>
            </w:pPr>
            <w:r>
              <w:t>68.53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75.60</w:t>
            </w:r>
          </w:p>
        </w:tc>
        <w:tc>
          <w:tcPr>
            <w:tcW w:w="2551" w:type="dxa"/>
            <w:vAlign w:val="center"/>
          </w:tcPr>
          <w:p>
            <w:pPr>
              <w:pStyle w:val="15"/>
            </w:pPr>
            <w:r>
              <w:t>75.60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5.71</w:t>
            </w:r>
          </w:p>
        </w:tc>
        <w:tc>
          <w:tcPr>
            <w:tcW w:w="2551" w:type="dxa"/>
            <w:vAlign w:val="center"/>
          </w:tcPr>
          <w:p>
            <w:pPr>
              <w:pStyle w:val="15"/>
            </w:pPr>
            <w:r>
              <w:t>5.71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119.63</w:t>
            </w:r>
          </w:p>
        </w:tc>
        <w:tc>
          <w:tcPr>
            <w:tcW w:w="2551" w:type="dxa"/>
            <w:vAlign w:val="center"/>
          </w:tcPr>
          <w:p>
            <w:pPr>
              <w:pStyle w:val="15"/>
            </w:pPr>
            <w:r>
              <w:t>119.63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40.19</w:t>
            </w:r>
          </w:p>
        </w:tc>
        <w:tc>
          <w:tcPr>
            <w:tcW w:w="2551" w:type="dxa"/>
            <w:vAlign w:val="center"/>
          </w:tcPr>
          <w:p>
            <w:pPr>
              <w:pStyle w:val="15"/>
            </w:pPr>
            <w:r>
              <w:t>40.19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t>职业年金缴费</w:t>
            </w:r>
          </w:p>
        </w:tc>
        <w:tc>
          <w:tcPr>
            <w:tcW w:w="2551" w:type="dxa"/>
            <w:vAlign w:val="center"/>
          </w:tcPr>
          <w:p>
            <w:pPr>
              <w:pStyle w:val="15"/>
            </w:pPr>
            <w:r>
              <w:t>20.10</w:t>
            </w:r>
          </w:p>
        </w:tc>
        <w:tc>
          <w:tcPr>
            <w:tcW w:w="2551" w:type="dxa"/>
            <w:vAlign w:val="center"/>
          </w:tcPr>
          <w:p>
            <w:pPr>
              <w:pStyle w:val="15"/>
            </w:pPr>
            <w:r>
              <w:t>20.10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18.69</w:t>
            </w:r>
          </w:p>
        </w:tc>
        <w:tc>
          <w:tcPr>
            <w:tcW w:w="2551" w:type="dxa"/>
            <w:vAlign w:val="center"/>
          </w:tcPr>
          <w:p>
            <w:pPr>
              <w:pStyle w:val="15"/>
            </w:pPr>
            <w:r>
              <w:t>18.69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30111</w:t>
            </w:r>
          </w:p>
        </w:tc>
        <w:tc>
          <w:tcPr>
            <w:tcW w:w="4535" w:type="dxa"/>
            <w:vAlign w:val="center"/>
          </w:tcPr>
          <w:p>
            <w:pPr>
              <w:pStyle w:val="16"/>
            </w:pPr>
            <w:r>
              <w:t>公务员医疗补助缴费</w:t>
            </w:r>
          </w:p>
        </w:tc>
        <w:tc>
          <w:tcPr>
            <w:tcW w:w="2551" w:type="dxa"/>
            <w:vAlign w:val="center"/>
          </w:tcPr>
          <w:p>
            <w:pPr>
              <w:pStyle w:val="15"/>
            </w:pPr>
            <w:r>
              <w:t>15.07</w:t>
            </w:r>
          </w:p>
        </w:tc>
        <w:tc>
          <w:tcPr>
            <w:tcW w:w="2551" w:type="dxa"/>
            <w:vAlign w:val="center"/>
          </w:tcPr>
          <w:p>
            <w:pPr>
              <w:pStyle w:val="15"/>
            </w:pPr>
            <w:r>
              <w:t>15.07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1.26</w:t>
            </w:r>
          </w:p>
        </w:tc>
        <w:tc>
          <w:tcPr>
            <w:tcW w:w="2551" w:type="dxa"/>
            <w:vAlign w:val="center"/>
          </w:tcPr>
          <w:p>
            <w:pPr>
              <w:pStyle w:val="15"/>
            </w:pPr>
            <w:r>
              <w:t>1.26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32.43</w:t>
            </w:r>
          </w:p>
        </w:tc>
        <w:tc>
          <w:tcPr>
            <w:tcW w:w="2551" w:type="dxa"/>
            <w:vAlign w:val="center"/>
          </w:tcPr>
          <w:p>
            <w:pPr>
              <w:pStyle w:val="15"/>
            </w:pPr>
            <w:r>
              <w:t>32.43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5.66</w:t>
            </w:r>
          </w:p>
        </w:tc>
        <w:tc>
          <w:tcPr>
            <w:tcW w:w="2551" w:type="dxa"/>
            <w:vAlign w:val="center"/>
          </w:tcPr>
          <w:p>
            <w:pPr>
              <w:pStyle w:val="15"/>
            </w:pPr>
          </w:p>
        </w:tc>
        <w:tc>
          <w:tcPr>
            <w:tcW w:w="2551" w:type="dxa"/>
            <w:vAlign w:val="center"/>
          </w:tcPr>
          <w:p>
            <w:pPr>
              <w:pStyle w:val="15"/>
            </w:pPr>
            <w:r>
              <w:t>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0.85</w:t>
            </w:r>
          </w:p>
        </w:tc>
        <w:tc>
          <w:tcPr>
            <w:tcW w:w="2551" w:type="dxa"/>
            <w:vAlign w:val="center"/>
          </w:tcPr>
          <w:p>
            <w:pPr>
              <w:pStyle w:val="15"/>
            </w:pPr>
          </w:p>
        </w:tc>
        <w:tc>
          <w:tcPr>
            <w:tcW w:w="2551" w:type="dxa"/>
            <w:vAlign w:val="center"/>
          </w:tcPr>
          <w:p>
            <w:pPr>
              <w:pStyle w:val="15"/>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30202</w:t>
            </w:r>
          </w:p>
        </w:tc>
        <w:tc>
          <w:tcPr>
            <w:tcW w:w="4535" w:type="dxa"/>
            <w:vAlign w:val="center"/>
          </w:tcPr>
          <w:p>
            <w:pPr>
              <w:pStyle w:val="16"/>
            </w:pPr>
            <w:r>
              <w:t>印刷费</w:t>
            </w:r>
          </w:p>
        </w:tc>
        <w:tc>
          <w:tcPr>
            <w:tcW w:w="2551" w:type="dxa"/>
            <w:vAlign w:val="center"/>
          </w:tcPr>
          <w:p>
            <w:pPr>
              <w:pStyle w:val="15"/>
            </w:pPr>
            <w:r>
              <w:t>0.17</w:t>
            </w:r>
          </w:p>
        </w:tc>
        <w:tc>
          <w:tcPr>
            <w:tcW w:w="2551" w:type="dxa"/>
            <w:vAlign w:val="center"/>
          </w:tcPr>
          <w:p>
            <w:pPr>
              <w:pStyle w:val="15"/>
            </w:pPr>
          </w:p>
        </w:tc>
        <w:tc>
          <w:tcPr>
            <w:tcW w:w="2551" w:type="dxa"/>
            <w:vAlign w:val="center"/>
          </w:tcPr>
          <w:p>
            <w:pPr>
              <w:pStyle w:val="15"/>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30211</w:t>
            </w:r>
          </w:p>
        </w:tc>
        <w:tc>
          <w:tcPr>
            <w:tcW w:w="4535" w:type="dxa"/>
            <w:vAlign w:val="center"/>
          </w:tcPr>
          <w:p>
            <w:pPr>
              <w:pStyle w:val="16"/>
            </w:pPr>
            <w:r>
              <w:t>差旅费</w:t>
            </w:r>
          </w:p>
        </w:tc>
        <w:tc>
          <w:tcPr>
            <w:tcW w:w="2551" w:type="dxa"/>
            <w:vAlign w:val="center"/>
          </w:tcPr>
          <w:p>
            <w:pPr>
              <w:pStyle w:val="15"/>
            </w:pPr>
            <w:r>
              <w:t>1.36</w:t>
            </w:r>
          </w:p>
        </w:tc>
        <w:tc>
          <w:tcPr>
            <w:tcW w:w="2551" w:type="dxa"/>
            <w:vAlign w:val="center"/>
          </w:tcPr>
          <w:p>
            <w:pPr>
              <w:pStyle w:val="15"/>
            </w:pPr>
          </w:p>
        </w:tc>
        <w:tc>
          <w:tcPr>
            <w:tcW w:w="2551" w:type="dxa"/>
            <w:vAlign w:val="center"/>
          </w:tcPr>
          <w:p>
            <w:pPr>
              <w:pStyle w:val="15"/>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30216</w:t>
            </w:r>
          </w:p>
        </w:tc>
        <w:tc>
          <w:tcPr>
            <w:tcW w:w="4535" w:type="dxa"/>
            <w:vAlign w:val="center"/>
          </w:tcPr>
          <w:p>
            <w:pPr>
              <w:pStyle w:val="16"/>
            </w:pPr>
            <w:r>
              <w:t>培训费</w:t>
            </w:r>
          </w:p>
        </w:tc>
        <w:tc>
          <w:tcPr>
            <w:tcW w:w="2551" w:type="dxa"/>
            <w:vAlign w:val="center"/>
          </w:tcPr>
          <w:p>
            <w:pPr>
              <w:pStyle w:val="15"/>
            </w:pPr>
            <w:r>
              <w:t>1.02</w:t>
            </w:r>
          </w:p>
        </w:tc>
        <w:tc>
          <w:tcPr>
            <w:tcW w:w="2551" w:type="dxa"/>
            <w:vAlign w:val="center"/>
          </w:tcPr>
          <w:p>
            <w:pPr>
              <w:pStyle w:val="15"/>
            </w:pPr>
          </w:p>
        </w:tc>
        <w:tc>
          <w:tcPr>
            <w:tcW w:w="2551" w:type="dxa"/>
            <w:vAlign w:val="center"/>
          </w:tcPr>
          <w:p>
            <w:pPr>
              <w:pStyle w:val="15"/>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30217</w:t>
            </w:r>
          </w:p>
        </w:tc>
        <w:tc>
          <w:tcPr>
            <w:tcW w:w="4535" w:type="dxa"/>
            <w:vAlign w:val="center"/>
          </w:tcPr>
          <w:p>
            <w:pPr>
              <w:pStyle w:val="16"/>
            </w:pPr>
            <w:r>
              <w:t>公务接待费</w:t>
            </w:r>
          </w:p>
        </w:tc>
        <w:tc>
          <w:tcPr>
            <w:tcW w:w="2551" w:type="dxa"/>
            <w:vAlign w:val="center"/>
          </w:tcPr>
          <w:p>
            <w:pPr>
              <w:pStyle w:val="15"/>
            </w:pPr>
            <w:r>
              <w:t>0.19</w:t>
            </w:r>
          </w:p>
        </w:tc>
        <w:tc>
          <w:tcPr>
            <w:tcW w:w="2551" w:type="dxa"/>
            <w:vAlign w:val="center"/>
          </w:tcPr>
          <w:p>
            <w:pPr>
              <w:pStyle w:val="15"/>
            </w:pPr>
          </w:p>
        </w:tc>
        <w:tc>
          <w:tcPr>
            <w:tcW w:w="2551" w:type="dxa"/>
            <w:vAlign w:val="center"/>
          </w:tcPr>
          <w:p>
            <w:pPr>
              <w:pStyle w:val="15"/>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2.07</w:t>
            </w:r>
          </w:p>
        </w:tc>
        <w:tc>
          <w:tcPr>
            <w:tcW w:w="2551" w:type="dxa"/>
            <w:vAlign w:val="center"/>
          </w:tcPr>
          <w:p>
            <w:pPr>
              <w:pStyle w:val="15"/>
            </w:pPr>
          </w:p>
        </w:tc>
        <w:tc>
          <w:tcPr>
            <w:tcW w:w="2551" w:type="dxa"/>
            <w:vAlign w:val="center"/>
          </w:tcPr>
          <w:p>
            <w:pPr>
              <w:pStyle w:val="15"/>
            </w:pPr>
            <w:r>
              <w:t>2.07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434001沧州临港经济技术开发区行政审批局本级</w:t>
            </w:r>
          </w:p>
        </w:tc>
        <w:tc>
          <w:tcPr>
            <w:tcW w:w="2551" w:type="dxa"/>
            <w:tcBorders>
              <w:top w:val="single" w:color="FFFFFF" w:sz="6" w:space="0"/>
              <w:left w:val="single" w:color="FFFFFF" w:sz="6" w:space="0"/>
              <w:right w:val="single" w:color="FFFFFF" w:sz="6" w:space="0"/>
            </w:tcBorders>
            <w:vAlign w:val="center"/>
          </w:tcPr>
          <w:p>
            <w:pPr>
              <w:pStyle w:val="12"/>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434001沧州临港经济技术开发区行政审批局本级</w:t>
            </w:r>
          </w:p>
        </w:tc>
        <w:tc>
          <w:tcPr>
            <w:tcW w:w="2551" w:type="dxa"/>
            <w:tcBorders>
              <w:top w:val="single" w:color="FFFFFF" w:sz="6" w:space="0"/>
              <w:left w:val="single" w:color="FFFFFF" w:sz="6" w:space="0"/>
              <w:right w:val="single" w:color="FFFFFF" w:sz="6" w:space="0"/>
            </w:tcBorders>
            <w:vAlign w:val="center"/>
          </w:tcPr>
          <w:p>
            <w:pPr>
              <w:pStyle w:val="12"/>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3"/>
            </w:pPr>
            <w:r>
              <w:t>434001沧州临港经济技术开发区行政审批局本级</w:t>
            </w:r>
          </w:p>
        </w:tc>
        <w:tc>
          <w:tcPr>
            <w:tcW w:w="2381" w:type="dxa"/>
            <w:tcBorders>
              <w:top w:val="single" w:color="FFFFFF" w:sz="6" w:space="0"/>
              <w:left w:val="single" w:color="FFFFFF" w:sz="6" w:space="0"/>
              <w:right w:val="single" w:color="FFFFFF" w:sz="6" w:space="0"/>
            </w:tcBorders>
            <w:vAlign w:val="center"/>
          </w:tcPr>
          <w:p>
            <w:pPr>
              <w:pStyle w:val="12"/>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1" w:type="dxa"/>
            <w:vAlign w:val="center"/>
          </w:tcPr>
          <w:p>
            <w:pPr>
              <w:pStyle w:val="19"/>
              <w:rPr>
                <w:rFonts w:hint="eastAsia" w:eastAsia="方正书宋_GBK"/>
                <w:lang w:val="en-US" w:eastAsia="zh-CN"/>
              </w:rPr>
            </w:pPr>
            <w:r>
              <w:rPr>
                <w:rFonts w:hint="eastAsia"/>
                <w:lang w:val="en-US" w:eastAsia="zh-CN"/>
              </w:rPr>
              <w:t>0.84</w:t>
            </w:r>
          </w:p>
        </w:tc>
        <w:tc>
          <w:tcPr>
            <w:tcW w:w="2381" w:type="dxa"/>
            <w:vAlign w:val="center"/>
          </w:tcPr>
          <w:p>
            <w:pPr>
              <w:pStyle w:val="19"/>
              <w:rPr>
                <w:rFonts w:hint="eastAsia" w:eastAsia="方正书宋_GBK"/>
                <w:lang w:val="en-US" w:eastAsia="zh-CN"/>
              </w:rPr>
            </w:pPr>
            <w:r>
              <w:rPr>
                <w:rFonts w:hint="eastAsia"/>
                <w:lang w:val="en-US" w:eastAsia="zh-CN"/>
              </w:rPr>
              <w:t>0.84</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1" w:type="dxa"/>
            <w:vAlign w:val="center"/>
          </w:tcPr>
          <w:p>
            <w:pPr>
              <w:pStyle w:val="15"/>
              <w:rPr>
                <w:rFonts w:hint="eastAsia" w:eastAsia="方正书宋_GBK"/>
                <w:lang w:val="en-US" w:eastAsia="zh-CN"/>
              </w:rPr>
            </w:pPr>
            <w:r>
              <w:rPr>
                <w:rFonts w:hint="eastAsia"/>
                <w:lang w:val="en-US" w:eastAsia="zh-CN"/>
              </w:rPr>
              <w:t>0.84</w:t>
            </w:r>
          </w:p>
        </w:tc>
        <w:tc>
          <w:tcPr>
            <w:tcW w:w="2381" w:type="dxa"/>
            <w:vAlign w:val="center"/>
          </w:tcPr>
          <w:p>
            <w:pPr>
              <w:pStyle w:val="15"/>
              <w:rPr>
                <w:rFonts w:hint="eastAsia" w:eastAsia="方正书宋_GBK"/>
                <w:lang w:val="en-US" w:eastAsia="zh-CN"/>
              </w:rPr>
            </w:pPr>
            <w:r>
              <w:rPr>
                <w:rFonts w:hint="eastAsia"/>
                <w:lang w:val="en-US" w:eastAsia="zh-CN"/>
              </w:rPr>
              <w:t>0.84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1" w:type="dxa"/>
            <w:vAlign w:val="center"/>
          </w:tcPr>
          <w:p>
            <w:pPr>
              <w:pStyle w:val="15"/>
              <w:rPr>
                <w:rFonts w:hint="eastAsia" w:eastAsia="方正书宋_GBK"/>
                <w:lang w:val="en-US" w:eastAsia="zh-CN"/>
              </w:rPr>
            </w:pPr>
            <w:r>
              <w:rPr>
                <w:rFonts w:hint="eastAsia"/>
                <w:lang w:val="en-US" w:eastAsia="zh-CN"/>
              </w:rPr>
              <w:t>0.84</w:t>
            </w:r>
          </w:p>
        </w:tc>
        <w:tc>
          <w:tcPr>
            <w:tcW w:w="2381" w:type="dxa"/>
            <w:vAlign w:val="center"/>
          </w:tcPr>
          <w:p>
            <w:pPr>
              <w:pStyle w:val="15"/>
              <w:rPr>
                <w:rFonts w:hint="eastAsia" w:eastAsia="方正书宋_GBK"/>
                <w:lang w:val="en-US" w:eastAsia="zh-CN"/>
              </w:rPr>
            </w:pPr>
            <w:r>
              <w:rPr>
                <w:rFonts w:hint="eastAsia"/>
                <w:lang w:val="en-US" w:eastAsia="zh-CN"/>
              </w:rPr>
              <w:t>0.84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10</w:t>
            </w:r>
          </w:p>
        </w:tc>
        <w:tc>
          <w:tcPr>
            <w:tcW w:w="3798" w:type="dxa"/>
            <w:vAlign w:val="center"/>
          </w:tcPr>
          <w:p>
            <w:pPr>
              <w:pStyle w:val="16"/>
            </w:pPr>
            <w:r>
              <w:t>四、会议费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11</w:t>
            </w:r>
          </w:p>
        </w:tc>
        <w:tc>
          <w:tcPr>
            <w:tcW w:w="3798" w:type="dxa"/>
            <w:vAlign w:val="center"/>
          </w:tcPr>
          <w:p>
            <w:pPr>
              <w:pStyle w:val="16"/>
            </w:pPr>
            <w:r>
              <w:t xml:space="preserve">    其中：省属高校业务性会议费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12</w:t>
            </w:r>
          </w:p>
        </w:tc>
        <w:tc>
          <w:tcPr>
            <w:tcW w:w="3798" w:type="dxa"/>
            <w:vAlign w:val="center"/>
          </w:tcPr>
          <w:p>
            <w:pPr>
              <w:pStyle w:val="16"/>
            </w:pPr>
            <w:r>
              <w:t xml:space="preserve">          其他会议费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13</w:t>
            </w:r>
          </w:p>
        </w:tc>
        <w:tc>
          <w:tcPr>
            <w:tcW w:w="3798" w:type="dxa"/>
            <w:vAlign w:val="center"/>
          </w:tcPr>
          <w:p>
            <w:pPr>
              <w:pStyle w:val="16"/>
            </w:pPr>
            <w:r>
              <w:t>五、培训费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沧州临港经济技术开发区行政审批局本级2026年单位预算信息公开情况说明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按照《中华人民共和国预算法》、《地方预决算公开操作规程》和《关于进一步推进预算公开工作的实施意见》规定，现将沧州临港经济技术开发区行政审批局本级2026年单位预算公开如下：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根据《沧州临港经济技术开发区行政审批局职能配置、内设机构和人员编制规定》，沧州临港经济技术开发区行政审批局的主要职责是：</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1、</w:t>
      </w:r>
      <w:r>
        <w:rPr>
          <w:rFonts w:ascii="Times New Roman" w:hAnsi="Times New Roman" w:eastAsia="方正仿宋_GBK" w:cs="Times New Roman"/>
          <w:color w:val="000000"/>
          <w:sz w:val="28"/>
        </w:rPr>
        <w:t>贯彻执行行政审批局相关政策、法律、法规和规定。</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2、</w:t>
      </w:r>
      <w:r>
        <w:rPr>
          <w:rFonts w:ascii="Times New Roman" w:hAnsi="Times New Roman" w:eastAsia="方正仿宋_GBK" w:cs="Times New Roman"/>
          <w:color w:val="000000"/>
          <w:sz w:val="28"/>
        </w:rPr>
        <w:t>负责开发区行政审批工作及相关事项，并承担相应的法律责任。</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3、</w:t>
      </w:r>
      <w:r>
        <w:rPr>
          <w:rFonts w:ascii="Times New Roman" w:hAnsi="Times New Roman" w:eastAsia="方正仿宋_GBK" w:cs="Times New Roman"/>
          <w:color w:val="000000"/>
          <w:sz w:val="28"/>
        </w:rPr>
        <w:t>按照相关法律法规，负责编制服务指南，规范行政审批行为，优化审批流程，提高审批效率，并依法全面公开行政审批信息。</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4、</w:t>
      </w:r>
      <w:r>
        <w:rPr>
          <w:rFonts w:ascii="Times New Roman" w:hAnsi="Times New Roman" w:eastAsia="方正仿宋_GBK" w:cs="Times New Roman"/>
          <w:color w:val="000000"/>
          <w:sz w:val="28"/>
        </w:rPr>
        <w:t>负责开发区行政审批改革制度，以及相关工作体系、体制机制创新和完善工作。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5、</w:t>
      </w:r>
      <w:r>
        <w:rPr>
          <w:rFonts w:ascii="Times New Roman" w:hAnsi="Times New Roman" w:eastAsia="方正仿宋_GBK" w:cs="Times New Roman"/>
          <w:color w:val="000000"/>
          <w:sz w:val="28"/>
        </w:rPr>
        <w:t>负责行政审批局业务和人员的教育培训、管理、监督和考核工作。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6、</w:t>
      </w:r>
      <w:r>
        <w:rPr>
          <w:rFonts w:ascii="Times New Roman" w:hAnsi="Times New Roman" w:eastAsia="方正仿宋_GBK" w:cs="Times New Roman"/>
          <w:color w:val="000000"/>
          <w:sz w:val="28"/>
        </w:rPr>
        <w:t>负责行政审批局审批信息化建设和管理。</w:t>
      </w:r>
    </w:p>
    <w:p>
      <w:pPr>
        <w:pStyle w:val="21"/>
      </w:pPr>
      <w:r>
        <w:rPr>
          <w:rFonts w:ascii="Times New Roman" w:hAnsi="Times New Roman" w:eastAsia="方正仿宋_GBK" w:cs="Times New Roman"/>
          <w:color w:val="000000"/>
          <w:sz w:val="28"/>
        </w:rPr>
        <w:t>7、负责承办开发区党工委、管委会交办的其他事项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沧州临港经济技术开发区行政审批局本级</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6"/>
      </w:pPr>
      <w:r>
        <w:t>按照预算管理有关规定，目前我部门预算的编制实行综合预算制度，即全部收入和支出都反映在预算中。202</w:t>
      </w:r>
      <w:r>
        <w:rPr>
          <w:rFonts w:hint="eastAsia"/>
          <w:lang w:val="en-US" w:eastAsia="zh-CN"/>
        </w:rPr>
        <w:t>6</w:t>
      </w:r>
      <w:r>
        <w:t>年度沧州临港经济技术开发区行政审批局的收支均包含在部门预算中。</w:t>
      </w:r>
    </w:p>
    <w:p>
      <w:pPr>
        <w:pStyle w:val="26"/>
      </w:pPr>
      <w:r>
        <w:t>1、收入说明</w:t>
      </w:r>
    </w:p>
    <w:p>
      <w:pPr>
        <w:pStyle w:val="26"/>
      </w:pPr>
      <w:r>
        <w:t>202</w:t>
      </w:r>
      <w:r>
        <w:rPr>
          <w:rFonts w:hint="eastAsia"/>
          <w:lang w:val="en-US" w:eastAsia="zh-CN"/>
        </w:rPr>
        <w:t>6</w:t>
      </w:r>
      <w:r>
        <w:t>年度沧州临港经济技术开发区行政审批局预算收入</w:t>
      </w:r>
      <w:r>
        <w:rPr>
          <w:rFonts w:hint="eastAsia"/>
          <w:lang w:val="en-US" w:eastAsia="zh-CN"/>
        </w:rPr>
        <w:t>457.87</w:t>
      </w:r>
      <w:r>
        <w:t>万元，</w:t>
      </w:r>
      <w:r>
        <w:rPr>
          <w:rFonts w:hint="eastAsia"/>
          <w:lang w:eastAsia="zh-CN"/>
        </w:rPr>
        <w:t>较</w:t>
      </w:r>
      <w:r>
        <w:rPr>
          <w:rFonts w:hint="eastAsia"/>
          <w:lang w:val="en-US" w:eastAsia="zh-CN"/>
        </w:rPr>
        <w:t>2025年增加26.37万元，</w:t>
      </w:r>
      <w:r>
        <w:t>其中：一般公共预算财政拨款预算收入</w:t>
      </w:r>
      <w:r>
        <w:rPr>
          <w:rFonts w:hint="eastAsia"/>
          <w:lang w:val="en-US" w:eastAsia="zh-CN"/>
        </w:rPr>
        <w:t>457.87</w:t>
      </w:r>
      <w:r>
        <w:t>万元，基金拨款预算0万元，财政专户核拨预算0万元，其他来源收入预算0万元。</w:t>
      </w:r>
    </w:p>
    <w:p>
      <w:pPr>
        <w:pStyle w:val="26"/>
      </w:pPr>
      <w:r>
        <w:t>2、支出说明</w:t>
      </w:r>
    </w:p>
    <w:p>
      <w:pPr>
        <w:pStyle w:val="26"/>
      </w:pPr>
      <w:r>
        <w:t>202</w:t>
      </w:r>
      <w:r>
        <w:rPr>
          <w:rFonts w:hint="eastAsia"/>
          <w:lang w:val="en-US" w:eastAsia="zh-CN"/>
        </w:rPr>
        <w:t>6</w:t>
      </w:r>
      <w:r>
        <w:t>年度行政审批局预算支出</w:t>
      </w:r>
      <w:r>
        <w:rPr>
          <w:rFonts w:hint="eastAsia"/>
          <w:lang w:val="en-US" w:eastAsia="zh-CN"/>
        </w:rPr>
        <w:t>457.87</w:t>
      </w:r>
      <w:r>
        <w:t>万元</w:t>
      </w:r>
      <w:r>
        <w:rPr>
          <w:rFonts w:hint="eastAsia"/>
          <w:lang w:eastAsia="zh-CN"/>
        </w:rPr>
        <w:t>，较</w:t>
      </w:r>
      <w:r>
        <w:rPr>
          <w:rFonts w:hint="eastAsia"/>
          <w:lang w:val="en-US" w:eastAsia="zh-CN"/>
        </w:rPr>
        <w:t>2025年增加26.37万元</w:t>
      </w:r>
      <w:r>
        <w:t>，其中：基本支出拨款预算收入</w:t>
      </w:r>
      <w:r>
        <w:rPr>
          <w:rFonts w:hint="eastAsia"/>
          <w:lang w:val="en-US" w:eastAsia="zh-CN"/>
        </w:rPr>
        <w:t>402.87</w:t>
      </w:r>
      <w:r>
        <w:t>万元</w:t>
      </w:r>
      <w:r>
        <w:rPr>
          <w:rFonts w:hint="eastAsia"/>
          <w:lang w:eastAsia="zh-CN"/>
        </w:rPr>
        <w:t>，较</w:t>
      </w:r>
      <w:r>
        <w:rPr>
          <w:rFonts w:hint="eastAsia"/>
          <w:lang w:val="en-US" w:eastAsia="zh-CN"/>
        </w:rPr>
        <w:t>2025年增加31.37万元</w:t>
      </w:r>
      <w:r>
        <w:t>，包含人员支出</w:t>
      </w:r>
      <w:r>
        <w:rPr>
          <w:rFonts w:hint="eastAsia"/>
          <w:lang w:val="en-US" w:eastAsia="zh-CN"/>
        </w:rPr>
        <w:t>397.21</w:t>
      </w:r>
      <w:r>
        <w:t>万元，</w:t>
      </w:r>
      <w:r>
        <w:rPr>
          <w:rFonts w:hint="eastAsia"/>
          <w:lang w:eastAsia="zh-CN"/>
        </w:rPr>
        <w:t>较</w:t>
      </w:r>
      <w:r>
        <w:rPr>
          <w:rFonts w:hint="eastAsia"/>
          <w:lang w:val="en-US" w:eastAsia="zh-CN"/>
        </w:rPr>
        <w:t>2025年增加31.38万元，</w:t>
      </w:r>
      <w:r>
        <w:t>日常公用支出</w:t>
      </w:r>
      <w:r>
        <w:rPr>
          <w:rFonts w:hint="eastAsia"/>
          <w:lang w:val="en-US" w:eastAsia="zh-CN"/>
        </w:rPr>
        <w:t>5.66</w:t>
      </w:r>
      <w:r>
        <w:t>万元</w:t>
      </w:r>
      <w:r>
        <w:rPr>
          <w:rFonts w:hint="eastAsia"/>
          <w:lang w:eastAsia="zh-CN"/>
        </w:rPr>
        <w:t>，较</w:t>
      </w:r>
      <w:r>
        <w:rPr>
          <w:rFonts w:hint="eastAsia"/>
          <w:lang w:val="en-US" w:eastAsia="zh-CN"/>
        </w:rPr>
        <w:t>2025年减少0.01万元</w:t>
      </w:r>
      <w:r>
        <w:t>；项目支出</w:t>
      </w:r>
      <w:r>
        <w:rPr>
          <w:rFonts w:hint="eastAsia"/>
          <w:lang w:val="en-US" w:eastAsia="zh-CN"/>
        </w:rPr>
        <w:t>55</w:t>
      </w:r>
      <w:r>
        <w:t>万元</w:t>
      </w:r>
      <w:r>
        <w:rPr>
          <w:rFonts w:hint="eastAsia"/>
          <w:lang w:eastAsia="zh-CN"/>
        </w:rPr>
        <w:t>，较</w:t>
      </w:r>
      <w:r>
        <w:rPr>
          <w:rFonts w:hint="eastAsia"/>
          <w:lang w:val="en-US" w:eastAsia="zh-CN"/>
        </w:rPr>
        <w:t>2025年减少5万元</w:t>
      </w:r>
      <w:r>
        <w:t>，综合事务管理经费</w:t>
      </w:r>
      <w:r>
        <w:rPr>
          <w:rFonts w:hint="eastAsia"/>
          <w:lang w:val="en-US" w:eastAsia="zh-CN"/>
        </w:rPr>
        <w:t>12</w:t>
      </w:r>
      <w:r>
        <w:t>万元、环评技术评估服务经费</w:t>
      </w:r>
      <w:r>
        <w:rPr>
          <w:rFonts w:hint="eastAsia"/>
          <w:lang w:val="en-US" w:eastAsia="zh-CN"/>
        </w:rPr>
        <w:t>6</w:t>
      </w:r>
      <w:r>
        <w:t>万元、投资项目委托咨询节能审查评审经费</w:t>
      </w:r>
      <w:r>
        <w:rPr>
          <w:rFonts w:hint="eastAsia"/>
          <w:lang w:val="en-US" w:eastAsia="zh-CN"/>
        </w:rPr>
        <w:t>10</w:t>
      </w:r>
      <w:r>
        <w:t>万元、</w:t>
      </w:r>
      <w:r>
        <w:rPr>
          <w:rFonts w:ascii="Times New Roman" w:hAnsi="Times New Roman" w:cs="Times New Roman"/>
        </w:rPr>
        <w:t>排污许可证技术服务</w:t>
      </w:r>
      <w:r>
        <w:rPr>
          <w:rFonts w:hint="eastAsia" w:ascii="Times New Roman" w:hAnsi="Times New Roman" w:cs="Times New Roman"/>
          <w:lang w:val="en-US" w:eastAsia="zh-CN"/>
        </w:rPr>
        <w:t>20</w:t>
      </w:r>
      <w:r>
        <w:rPr>
          <w:rFonts w:ascii="Times New Roman" w:hAnsi="Times New Roman" w:cs="Times New Roman"/>
        </w:rPr>
        <w:t>万元</w:t>
      </w:r>
      <w:r>
        <w:rPr>
          <w:rFonts w:hint="eastAsia" w:ascii="Times New Roman" w:hAnsi="Times New Roman" w:cs="Times New Roman"/>
          <w:lang w:eastAsia="zh-CN"/>
        </w:rPr>
        <w:t>、</w:t>
      </w:r>
      <w:r>
        <w:rPr>
          <w:rFonts w:ascii="Times New Roman" w:hAnsi="Times New Roman" w:cs="Times New Roman"/>
        </w:rPr>
        <w:t>掌上临港小程序</w:t>
      </w:r>
      <w:r>
        <w:rPr>
          <w:rFonts w:hint="eastAsia" w:ascii="Times New Roman" w:hAnsi="Times New Roman" w:cs="Times New Roman"/>
          <w:lang w:val="en-US" w:eastAsia="zh-CN"/>
        </w:rPr>
        <w:t>7万元</w:t>
      </w:r>
      <w:r>
        <w:rPr>
          <w:rFonts w:hint="eastAsia" w:cs="Times New Roman"/>
          <w:lang w:val="en-US" w:eastAsia="zh-CN"/>
        </w:rPr>
        <w:t>，其中委托业务费共计安排36万元，主要用于对外委托开展咨询、评审等工作</w:t>
      </w:r>
      <w:r>
        <w:rPr>
          <w:rFonts w:ascii="Times New Roman" w:hAnsi="Times New Roman" w:cs="Times New Roman"/>
        </w:rPr>
        <w:t>。</w:t>
      </w:r>
    </w:p>
    <w:p>
      <w:pPr>
        <w:pStyle w:val="22"/>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7"/>
        <w:rPr>
          <w:rFonts w:hint="eastAsia" w:ascii="Times New Roman" w:hAnsi="Times New Roman" w:eastAsia="方正仿宋_GBK" w:cs="Times New Roman"/>
          <w:sz w:val="28"/>
          <w:szCs w:val="24"/>
          <w:lang w:val="en-US" w:eastAsia="zh-CN" w:bidi="ar-SA"/>
        </w:rPr>
      </w:pPr>
      <w:r>
        <w:rPr>
          <w:rFonts w:ascii="Times New Roman" w:hAnsi="Times New Roman" w:eastAsia="方正仿宋_GBK" w:cs="Times New Roman"/>
          <w:sz w:val="28"/>
          <w:szCs w:val="24"/>
          <w:lang w:val="en-US" w:eastAsia="uk-UA" w:bidi="ar-SA"/>
        </w:rPr>
        <w:t>沧州临港经济技术开发区行政审批局机关运行经费共计安排</w:t>
      </w:r>
      <w:r>
        <w:rPr>
          <w:rFonts w:hint="eastAsia" w:ascii="Times New Roman" w:hAnsi="Times New Roman" w:eastAsia="方正仿宋_GBK" w:cs="Times New Roman"/>
          <w:sz w:val="28"/>
          <w:szCs w:val="24"/>
          <w:lang w:val="en-US" w:eastAsia="zh-CN" w:bidi="ar-SA"/>
        </w:rPr>
        <w:t>5.6</w:t>
      </w:r>
      <w:r>
        <w:rPr>
          <w:rFonts w:hint="eastAsia" w:ascii="Times New Roman" w:hAnsi="Times New Roman" w:cs="Times New Roman"/>
          <w:sz w:val="28"/>
          <w:szCs w:val="24"/>
          <w:lang w:val="en-US" w:eastAsia="zh-CN" w:bidi="ar-SA"/>
        </w:rPr>
        <w:t>6</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，较202</w:t>
      </w:r>
      <w:r>
        <w:rPr>
          <w:rFonts w:hint="eastAsia" w:ascii="Times New Roman" w:hAnsi="Times New Roman" w:cs="Times New Roman"/>
          <w:sz w:val="28"/>
          <w:szCs w:val="24"/>
          <w:lang w:val="en-US" w:eastAsia="zh-CN" w:bidi="ar-SA"/>
        </w:rPr>
        <w:t>5</w:t>
      </w:r>
      <w:r>
        <w:rPr>
          <w:rFonts w:hint="eastAsia" w:ascii="Times New Roman" w:hAnsi="Times New Roman" w:eastAsia="方正仿宋_GBK" w:cs="Times New Roman"/>
          <w:sz w:val="28"/>
          <w:szCs w:val="24"/>
          <w:lang w:val="en-US" w:eastAsia="zh-CN" w:bidi="ar-SA"/>
        </w:rPr>
        <w:t>年减少0.</w:t>
      </w:r>
      <w:r>
        <w:rPr>
          <w:rFonts w:hint="eastAsia" w:ascii="Times New Roman" w:hAnsi="Times New Roman" w:cs="Times New Roman"/>
          <w:sz w:val="28"/>
          <w:szCs w:val="24"/>
          <w:lang w:val="en-US" w:eastAsia="zh-CN" w:bidi="ar-SA"/>
        </w:rPr>
        <w:t>01</w:t>
      </w:r>
      <w:r>
        <w:rPr>
          <w:rFonts w:hint="eastAsia" w:ascii="Times New Roman" w:hAnsi="Times New Roman" w:eastAsia="方正仿宋_GBK" w:cs="Times New Roman"/>
          <w:sz w:val="28"/>
          <w:szCs w:val="24"/>
          <w:lang w:val="en-US" w:eastAsia="zh-CN" w:bidi="ar-SA"/>
        </w:rPr>
        <w:t>万元</w:t>
      </w:r>
      <w:r>
        <w:rPr>
          <w:rFonts w:ascii="Times New Roman" w:hAnsi="Times New Roman" w:eastAsia="方正仿宋_GBK" w:cs="Times New Roman"/>
          <w:sz w:val="28"/>
          <w:szCs w:val="24"/>
          <w:lang w:val="en-US" w:eastAsia="uk-UA" w:bidi="ar-SA"/>
        </w:rPr>
        <w:t>，主要是一般公共预算财政拨款基本支出的日常公用经费，包括办公费、印刷费、</w:t>
      </w:r>
      <w:r>
        <w:rPr>
          <w:rFonts w:hint="eastAsia" w:ascii="Times New Roman" w:hAnsi="Times New Roman" w:eastAsia="方正仿宋_GBK" w:cs="Times New Roman"/>
          <w:sz w:val="28"/>
          <w:szCs w:val="24"/>
          <w:lang w:val="en-US" w:eastAsia="zh-CN" w:bidi="ar-SA"/>
        </w:rPr>
        <w:t>培训费、</w:t>
      </w:r>
      <w:r>
        <w:rPr>
          <w:rFonts w:ascii="Times New Roman" w:hAnsi="Times New Roman" w:eastAsia="方正仿宋_GBK" w:cs="Times New Roman"/>
          <w:sz w:val="28"/>
          <w:szCs w:val="24"/>
          <w:lang w:val="en-US" w:eastAsia="uk-UA" w:bidi="ar-SA"/>
        </w:rPr>
        <w:t>差旅费</w:t>
      </w:r>
      <w:bookmarkStart w:id="1" w:name="_GoBack"/>
      <w:bookmarkEnd w:id="1"/>
      <w:r>
        <w:rPr>
          <w:rFonts w:ascii="Times New Roman" w:hAnsi="Times New Roman" w:eastAsia="方正仿宋_GBK" w:cs="Times New Roman"/>
          <w:sz w:val="28"/>
          <w:szCs w:val="24"/>
          <w:lang w:val="en-US" w:eastAsia="uk-UA" w:bidi="ar-SA"/>
        </w:rPr>
        <w:t>以及</w:t>
      </w:r>
      <w:r>
        <w:rPr>
          <w:rFonts w:hint="eastAsia" w:ascii="Times New Roman" w:hAnsi="Times New Roman" w:eastAsia="方正仿宋_GBK" w:cs="Times New Roman"/>
          <w:sz w:val="28"/>
          <w:szCs w:val="24"/>
          <w:lang w:val="en-US" w:eastAsia="zh-CN" w:bidi="ar-SA"/>
        </w:rPr>
        <w:t>工会经费。</w:t>
      </w:r>
    </w:p>
    <w:p>
      <w:pPr>
        <w:pStyle w:val="23"/>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8"/>
      </w:pPr>
      <w:r>
        <w:t>沧州临港经济技术开发区行政审批局20</w:t>
      </w:r>
      <w:r>
        <w:rPr>
          <w:rFonts w:hint="eastAsia"/>
          <w:lang w:val="en-US" w:eastAsia="zh-CN"/>
        </w:rPr>
        <w:t>26</w:t>
      </w:r>
      <w:r>
        <w:t>年度共安排“三公”经费0.</w:t>
      </w:r>
      <w:r>
        <w:rPr>
          <w:rFonts w:hint="eastAsia"/>
          <w:lang w:val="en-US" w:eastAsia="zh-CN"/>
        </w:rPr>
        <w:t>84</w:t>
      </w:r>
      <w:r>
        <w:t>万元</w:t>
      </w:r>
      <w:r>
        <w:rPr>
          <w:rFonts w:hint="eastAsia"/>
          <w:lang w:eastAsia="zh-CN"/>
        </w:rPr>
        <w:t>，较</w:t>
      </w:r>
      <w:r>
        <w:rPr>
          <w:rFonts w:hint="eastAsia"/>
          <w:lang w:val="en-US" w:eastAsia="zh-CN"/>
        </w:rPr>
        <w:t>2025年无变化，本局从严控制，压缩三公经费支出</w:t>
      </w:r>
      <w:r>
        <w:t>。</w:t>
      </w:r>
    </w:p>
    <w:p>
      <w:pPr>
        <w:pStyle w:val="24"/>
      </w:pP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pStyle w:val="2"/>
        <w:numPr>
          <w:ilvl w:val="0"/>
          <w:numId w:val="0"/>
        </w:numPr>
      </w:pP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9"/>
      </w:pPr>
      <w:r>
        <w:t>行政审批局202</w:t>
      </w:r>
      <w:r>
        <w:rPr>
          <w:rFonts w:hint="eastAsia"/>
          <w:lang w:val="en-US" w:eastAsia="zh-CN"/>
        </w:rPr>
        <w:t>6</w:t>
      </w:r>
      <w:r>
        <w:t>年</w:t>
      </w:r>
      <w:r>
        <w:rPr>
          <w:rFonts w:hint="eastAsia"/>
          <w:lang w:val="en-US" w:eastAsia="zh-CN"/>
        </w:rPr>
        <w:t>将</w:t>
      </w:r>
      <w:r>
        <w:t>继续贯彻落实国家和省、市、渤海新区有关深化行政审批体制改革的方针和决策部署，进一步深化并推进相对集中行政许可权改革，建立健全行政审批工作机制，继续创新服务，提高行政审批效率。加大帮办代办服务力度，探索实行手续办理容缺承诺制，以方便企业和群众办事为目标，通过完善窗口人员服务评价制度，努力提高政务服务质量和群众满意度。继续深化“放管服”改革，积极做好上级下放和部门划转权限的承接工作，大力推行网上审批，做好“三级四同”事项认领工作，争取承接的全部行政许可事项实现“最多跑一次”。及时将审批决定在网上公布，同时与各职能部门共享行政审批事项办理情况，便于职能部门对办理审批事项实施后续监管，共同打造良好营商环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30"/>
      </w:pPr>
      <w:r>
        <w:t>（一）转变观念，加强服务帮办，搞好项目审批。</w:t>
      </w:r>
    </w:p>
    <w:p>
      <w:pPr>
        <w:pStyle w:val="30"/>
      </w:pPr>
      <w:r>
        <w:t>牢固树立“一切围绕项目转，一切围绕开工干”的服务意识，巩固审批就是服务的理念，在当好“检票人”的基础上，延伸服务，当好“催办人”和“买票帮办人”。继续推行项目责任到人制度，指导企业尽快进入审批程序，实行容缺承诺制，加大帮办代办催办力度，确保项目尽快开工建设。</w:t>
      </w:r>
    </w:p>
    <w:p>
      <w:pPr>
        <w:pStyle w:val="30"/>
      </w:pPr>
      <w:r>
        <w:t>（二）提升审批大厅形象，努力打造服务最优的审批大厅。</w:t>
      </w:r>
    </w:p>
    <w:p>
      <w:pPr>
        <w:pStyle w:val="30"/>
      </w:pPr>
      <w:r>
        <w:t>   1、开设“互联网+政务服务”体验区，选派工作人员为前来大厅办事的企业、群众注册账号、指导网上审批，进一步扩大网上申报范围，力争改变企业、群众大厅跑办的传统思维模式。</w:t>
      </w:r>
    </w:p>
    <w:p>
      <w:pPr>
        <w:pStyle w:val="30"/>
      </w:pPr>
      <w:r>
        <w:t>2、根据新形势、新要求，不断完善大厅管理考核办法，不断提升政务服务形象。</w:t>
      </w:r>
    </w:p>
    <w:p>
      <w:pPr>
        <w:pStyle w:val="30"/>
      </w:pPr>
      <w:r>
        <w:t>（三）深化“放管服”改革，进一步优化政务环境</w:t>
      </w:r>
    </w:p>
    <w:p>
      <w:pPr>
        <w:pStyle w:val="30"/>
      </w:pPr>
      <w:r>
        <w:t>1、“互联网+政务服务”</w:t>
      </w:r>
    </w:p>
    <w:p>
      <w:pPr>
        <w:pStyle w:val="30"/>
      </w:pPr>
      <w:r>
        <w:t>根据本局行政许可事项变化情况，动态调整“三级四同”事项目录清单以及“能同尽同”事项实施清单，及时公布各类清单，并做好河北政务服务网、沧州市一体化在线审批和服务平台等网上审批同台维护工作，对于省级垂建系统，打通一批，对接一批，逐步实现全流程网办。</w:t>
      </w:r>
    </w:p>
    <w:p>
      <w:pPr>
        <w:pStyle w:val="30"/>
      </w:pPr>
      <w:r>
        <w:t>2、社会信用体系建设</w:t>
      </w:r>
    </w:p>
    <w:p>
      <w:pPr>
        <w:pStyle w:val="30"/>
      </w:pPr>
      <w:r>
        <w:t>完善社会信用体系建设，根据新区信用体系建设相关文件，逐步完善信息量归集等工作。</w:t>
      </w:r>
    </w:p>
    <w:p>
      <w:pPr>
        <w:pStyle w:val="30"/>
      </w:pPr>
      <w:r>
        <w:t>3、建设项目审批制度改革</w:t>
      </w:r>
    </w:p>
    <w:p>
      <w:pPr>
        <w:pStyle w:val="30"/>
      </w:pPr>
      <w:r>
        <w:t>积极与新区工改办对接，完善工程建设项目审批系统使用并开展承诺制改革方面相关工作。</w:t>
      </w:r>
    </w:p>
    <w:p>
      <w:pPr>
        <w:pStyle w:val="30"/>
      </w:pPr>
      <w:r>
        <w:t>4、进一步发挥“企业家直通车”职能，改进服务措施，完善政企沟通交流平台。</w:t>
      </w:r>
    </w:p>
    <w:p>
      <w:pPr>
        <w:pStyle w:val="30"/>
      </w:pPr>
      <w:r>
        <w:t>5、衔接落实国务院、省、市取消、下放行政许可事项，动态调整权力清单、责任清单、政务服务事项清单、行政许可事项清单、四办清单等清单，并及时公布。</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31"/>
      </w:pPr>
      <w:r>
        <w:t>1、完善审批制度，深化放管服改革，优化政务环境，充分发挥直通车办公室职能，搭建民营经济与政府的沟通平台。</w:t>
      </w:r>
    </w:p>
    <w:p>
      <w:pPr>
        <w:pStyle w:val="31"/>
      </w:pPr>
      <w:r>
        <w:t>2、加强支出管理，通过优化支出结构，及时支付资金，确保支出进度达标。</w:t>
      </w:r>
    </w:p>
    <w:p>
      <w:pPr>
        <w:pStyle w:val="31"/>
      </w:pPr>
      <w:r>
        <w:t>3、完善财务管理制度，完善大厅管理考核办法，不断提升政务服务形象，加强固定资产登记、使用和报废处置管理，做好绩效自评，发现问题及时采取措施，提高资金使用效益，做到支出合理，确保绩效目标如期保质实现。</w:t>
      </w:r>
    </w:p>
    <w:p>
      <w:pPr>
        <w:pStyle w:val="31"/>
      </w:pPr>
      <w:r>
        <w:t>4、动态管理企业手续办理进展，专人催办、帮办、代办，全力解决企业手续办理过程中的各种问题，为项目尤其是新高地项目开工建设保驾护航。充分发挥直通车办公室职能，搭建民营经济与政府的沟通平台。</w:t>
      </w:r>
    </w:p>
    <w:p>
      <w:pPr>
        <w:pStyle w:val="31"/>
        <w:sectPr>
          <w:pgSz w:w="16840" w:h="11900" w:orient="landscape"/>
          <w:pgMar w:top="1361" w:right="1020" w:bottom="1361" w:left="1020" w:header="720" w:footer="720" w:gutter="0"/>
          <w:cols w:space="720" w:num="1"/>
        </w:sectPr>
      </w:pPr>
      <w:r>
        <w:t>5、加强宣传培训调研等。加强政治思想和业务能力培训，“走出去”向先进审批经验的地方学习，问计问效于民，不断提高政务服务水平。</w:t>
      </w:r>
    </w:p>
    <w:p>
      <w:pPr>
        <w:pStyle w:val="3"/>
        <w:sectPr>
          <w:pgSz w:w="16840" w:h="11900" w:orient="landscape"/>
          <w:pgMar w:top="1361" w:right="1020" w:bottom="1361"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1、环评技术评估服务绩效目标表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13091626P000168100040</w:t>
            </w:r>
          </w:p>
        </w:tc>
        <w:tc>
          <w:tcPr>
            <w:tcW w:w="2835" w:type="dxa"/>
            <w:vAlign w:val="center"/>
          </w:tcPr>
          <w:p>
            <w:pPr>
              <w:pStyle w:val="14"/>
            </w:pPr>
            <w:r>
              <w:t>项目名称</w:t>
            </w:r>
          </w:p>
        </w:tc>
        <w:tc>
          <w:tcPr>
            <w:tcW w:w="6095" w:type="dxa"/>
            <w:gridSpan w:val="3"/>
            <w:vAlign w:val="center"/>
          </w:tcPr>
          <w:p>
            <w:pPr>
              <w:pStyle w:val="16"/>
            </w:pPr>
            <w:r>
              <w:t>环评技术评估服务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6.00</w:t>
            </w:r>
          </w:p>
        </w:tc>
        <w:tc>
          <w:tcPr>
            <w:tcW w:w="2835" w:type="dxa"/>
            <w:vAlign w:val="center"/>
          </w:tcPr>
          <w:p>
            <w:pPr>
              <w:pStyle w:val="14"/>
            </w:pPr>
            <w:r>
              <w:t>其中：财政    资金</w:t>
            </w:r>
          </w:p>
        </w:tc>
        <w:tc>
          <w:tcPr>
            <w:tcW w:w="2551" w:type="dxa"/>
            <w:vAlign w:val="center"/>
          </w:tcPr>
          <w:p>
            <w:pPr>
              <w:pStyle w:val="16"/>
            </w:pPr>
            <w:r>
              <w:t>6.00</w:t>
            </w:r>
          </w:p>
        </w:tc>
        <w:tc>
          <w:tcPr>
            <w:tcW w:w="2268" w:type="dxa"/>
            <w:vAlign w:val="center"/>
          </w:tcPr>
          <w:p>
            <w:pPr>
              <w:pStyle w:val="14"/>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用于环评会的正常召开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pPr>
            <w:r>
              <w:t>2.00</w:t>
            </w:r>
          </w:p>
        </w:tc>
        <w:tc>
          <w:tcPr>
            <w:tcW w:w="2835" w:type="dxa"/>
            <w:vAlign w:val="center"/>
          </w:tcPr>
          <w:p>
            <w:pPr>
              <w:pStyle w:val="17"/>
            </w:pPr>
            <w:r>
              <w:t>4.00</w:t>
            </w:r>
          </w:p>
        </w:tc>
        <w:tc>
          <w:tcPr>
            <w:tcW w:w="2551" w:type="dxa"/>
            <w:vAlign w:val="center"/>
          </w:tcPr>
          <w:p>
            <w:pPr>
              <w:pStyle w:val="17"/>
            </w:pPr>
            <w:r>
              <w:t>5.00</w:t>
            </w:r>
          </w:p>
        </w:tc>
        <w:tc>
          <w:tcPr>
            <w:tcW w:w="3544" w:type="dxa"/>
            <w:gridSpan w:val="2"/>
            <w:vAlign w:val="center"/>
          </w:tcPr>
          <w:p>
            <w:pPr>
              <w:pStyle w:val="17"/>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1.保障环评报告评审费用的正常支出</w:t>
            </w:r>
            <w:r>
              <w:tab/>
            </w:r>
            <w:r>
              <w:tab/>
            </w:r>
            <w:r>
              <w:tab/>
            </w:r>
            <w:r>
              <w:tab/>
            </w:r>
            <w:r>
              <w:tab/>
            </w:r>
            <w:r>
              <w:tab/>
            </w:r>
          </w:p>
          <w:p>
            <w:pPr>
              <w:pStyle w:val="16"/>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召开建设项目环评文件专家评审会</w:t>
            </w:r>
          </w:p>
        </w:tc>
        <w:tc>
          <w:tcPr>
            <w:tcW w:w="5386" w:type="dxa"/>
            <w:vAlign w:val="center"/>
          </w:tcPr>
          <w:p>
            <w:pPr>
              <w:pStyle w:val="16"/>
            </w:pPr>
            <w:r>
              <w:t xml:space="preserve"> 召开20个建设项目环评文件评审会</w:t>
            </w:r>
          </w:p>
          <w:p>
            <w:pPr>
              <w:pStyle w:val="16"/>
            </w:pPr>
          </w:p>
        </w:tc>
        <w:tc>
          <w:tcPr>
            <w:tcW w:w="2268" w:type="dxa"/>
            <w:vAlign w:val="center"/>
          </w:tcPr>
          <w:p>
            <w:pPr>
              <w:pStyle w:val="16"/>
            </w:pPr>
            <w:r>
              <w:t xml:space="preserve"> 召开20个建设项目环评文件评审会</w:t>
            </w:r>
          </w:p>
        </w:tc>
        <w:tc>
          <w:tcPr>
            <w:tcW w:w="1276" w:type="dxa"/>
            <w:vAlign w:val="center"/>
          </w:tcPr>
          <w:p>
            <w:pPr>
              <w:pStyle w:val="16"/>
            </w:pPr>
            <w:r>
              <w:t>保证会议正常召开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通过专家评审</w:t>
            </w:r>
          </w:p>
        </w:tc>
        <w:tc>
          <w:tcPr>
            <w:tcW w:w="5386" w:type="dxa"/>
            <w:vAlign w:val="center"/>
          </w:tcPr>
          <w:p>
            <w:pPr>
              <w:pStyle w:val="16"/>
            </w:pPr>
            <w:r>
              <w:t>通过专家评审</w:t>
            </w:r>
          </w:p>
        </w:tc>
        <w:tc>
          <w:tcPr>
            <w:tcW w:w="2268" w:type="dxa"/>
            <w:vAlign w:val="center"/>
          </w:tcPr>
          <w:p>
            <w:pPr>
              <w:pStyle w:val="16"/>
            </w:pPr>
            <w:r>
              <w:t>100 百分比</w:t>
            </w:r>
          </w:p>
        </w:tc>
        <w:tc>
          <w:tcPr>
            <w:tcW w:w="1276" w:type="dxa"/>
            <w:vAlign w:val="center"/>
          </w:tcPr>
          <w:p>
            <w:pPr>
              <w:pStyle w:val="16"/>
            </w:pPr>
            <w:r>
              <w:t>通过专家评审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20个建设项目环评文件评审会一年内组织召开</w:t>
            </w:r>
          </w:p>
          <w:p>
            <w:pPr>
              <w:pStyle w:val="16"/>
            </w:pPr>
          </w:p>
        </w:tc>
        <w:tc>
          <w:tcPr>
            <w:tcW w:w="5386" w:type="dxa"/>
            <w:vAlign w:val="center"/>
          </w:tcPr>
          <w:p>
            <w:pPr>
              <w:pStyle w:val="16"/>
            </w:pPr>
            <w:r>
              <w:t>20个建设项目环评文件评审会一年内组织召开</w:t>
            </w:r>
          </w:p>
          <w:p>
            <w:pPr>
              <w:pStyle w:val="16"/>
            </w:pPr>
          </w:p>
        </w:tc>
        <w:tc>
          <w:tcPr>
            <w:tcW w:w="2268" w:type="dxa"/>
            <w:vAlign w:val="center"/>
          </w:tcPr>
          <w:p>
            <w:pPr>
              <w:pStyle w:val="16"/>
            </w:pPr>
            <w:r>
              <w:t>100 百分比</w:t>
            </w:r>
          </w:p>
        </w:tc>
        <w:tc>
          <w:tcPr>
            <w:tcW w:w="1276" w:type="dxa"/>
            <w:vAlign w:val="center"/>
          </w:tcPr>
          <w:p>
            <w:pPr>
              <w:pStyle w:val="16"/>
            </w:pPr>
            <w:r>
              <w:t>保证会议召开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评审总经费</w:t>
            </w:r>
          </w:p>
        </w:tc>
        <w:tc>
          <w:tcPr>
            <w:tcW w:w="5386" w:type="dxa"/>
            <w:vAlign w:val="center"/>
          </w:tcPr>
          <w:p>
            <w:pPr>
              <w:pStyle w:val="16"/>
            </w:pPr>
            <w:r>
              <w:t>评审总经费</w:t>
            </w:r>
          </w:p>
        </w:tc>
        <w:tc>
          <w:tcPr>
            <w:tcW w:w="2268" w:type="dxa"/>
            <w:vAlign w:val="center"/>
          </w:tcPr>
          <w:p>
            <w:pPr>
              <w:pStyle w:val="16"/>
            </w:pPr>
            <w:r>
              <w:t>100 百分比</w:t>
            </w:r>
          </w:p>
        </w:tc>
        <w:tc>
          <w:tcPr>
            <w:tcW w:w="1276" w:type="dxa"/>
            <w:vAlign w:val="center"/>
          </w:tcPr>
          <w:p>
            <w:pPr>
              <w:pStyle w:val="16"/>
            </w:pPr>
            <w:r>
              <w:t xml:space="preserve"> 预计花费6万元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保证企业入园项目投资建设</w:t>
            </w:r>
          </w:p>
        </w:tc>
        <w:tc>
          <w:tcPr>
            <w:tcW w:w="5386" w:type="dxa"/>
            <w:vAlign w:val="center"/>
          </w:tcPr>
          <w:p>
            <w:pPr>
              <w:pStyle w:val="16"/>
            </w:pPr>
            <w:r>
              <w:t>保证企业入园项目投资建设</w:t>
            </w:r>
          </w:p>
        </w:tc>
        <w:tc>
          <w:tcPr>
            <w:tcW w:w="2268" w:type="dxa"/>
            <w:vAlign w:val="center"/>
          </w:tcPr>
          <w:p>
            <w:pPr>
              <w:pStyle w:val="16"/>
            </w:pPr>
            <w:r>
              <w:t>100百分比</w:t>
            </w:r>
          </w:p>
        </w:tc>
        <w:tc>
          <w:tcPr>
            <w:tcW w:w="1276" w:type="dxa"/>
            <w:vAlign w:val="center"/>
          </w:tcPr>
          <w:p>
            <w:pPr>
              <w:pStyle w:val="16"/>
            </w:pPr>
            <w:r>
              <w:t xml:space="preserve"> 保证项目通过评审，顺利入园</w:t>
            </w:r>
            <w:r>
              <w:tab/>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保证环评会工作的有序开展</w:t>
            </w:r>
          </w:p>
        </w:tc>
        <w:tc>
          <w:tcPr>
            <w:tcW w:w="5386" w:type="dxa"/>
            <w:vAlign w:val="center"/>
          </w:tcPr>
          <w:p>
            <w:pPr>
              <w:pStyle w:val="16"/>
            </w:pPr>
            <w:r>
              <w:t>保证环评会工作的有序开展</w:t>
            </w:r>
          </w:p>
        </w:tc>
        <w:tc>
          <w:tcPr>
            <w:tcW w:w="2268" w:type="dxa"/>
            <w:vAlign w:val="center"/>
          </w:tcPr>
          <w:p>
            <w:pPr>
              <w:pStyle w:val="16"/>
            </w:pPr>
            <w:r>
              <w:t>100百分比</w:t>
            </w:r>
          </w:p>
        </w:tc>
        <w:tc>
          <w:tcPr>
            <w:tcW w:w="1276" w:type="dxa"/>
            <w:vAlign w:val="center"/>
          </w:tcPr>
          <w:p>
            <w:pPr>
              <w:pStyle w:val="16"/>
            </w:pPr>
            <w:r>
              <w:t xml:space="preserve"> 在一定时期内持续有效</w:t>
            </w:r>
            <w:r>
              <w:tab/>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企业满意度</w:t>
            </w:r>
          </w:p>
        </w:tc>
        <w:tc>
          <w:tcPr>
            <w:tcW w:w="5386" w:type="dxa"/>
            <w:vAlign w:val="center"/>
          </w:tcPr>
          <w:p>
            <w:pPr>
              <w:pStyle w:val="16"/>
            </w:pPr>
            <w:r>
              <w:t>企业满意度</w:t>
            </w:r>
          </w:p>
        </w:tc>
        <w:tc>
          <w:tcPr>
            <w:tcW w:w="2268" w:type="dxa"/>
            <w:vAlign w:val="center"/>
          </w:tcPr>
          <w:p>
            <w:pPr>
              <w:pStyle w:val="16"/>
            </w:pPr>
            <w:r>
              <w:t>100 百分比</w:t>
            </w:r>
          </w:p>
        </w:tc>
        <w:tc>
          <w:tcPr>
            <w:tcW w:w="1276" w:type="dxa"/>
            <w:vAlign w:val="center"/>
          </w:tcPr>
          <w:p>
            <w:pPr>
              <w:pStyle w:val="16"/>
            </w:pPr>
            <w:r>
              <w:t>企业满意度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2、排污许可证技术服务绩效目标表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13091626P000CJ410013D</w:t>
            </w:r>
          </w:p>
        </w:tc>
        <w:tc>
          <w:tcPr>
            <w:tcW w:w="2835" w:type="dxa"/>
            <w:vAlign w:val="center"/>
          </w:tcPr>
          <w:p>
            <w:pPr>
              <w:pStyle w:val="14"/>
            </w:pPr>
            <w:r>
              <w:t>项目名称</w:t>
            </w:r>
          </w:p>
        </w:tc>
        <w:tc>
          <w:tcPr>
            <w:tcW w:w="6095" w:type="dxa"/>
            <w:gridSpan w:val="3"/>
            <w:vAlign w:val="center"/>
          </w:tcPr>
          <w:p>
            <w:pPr>
              <w:pStyle w:val="16"/>
            </w:pPr>
            <w:r>
              <w:t>排污许可证技术服务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20.00</w:t>
            </w:r>
          </w:p>
        </w:tc>
        <w:tc>
          <w:tcPr>
            <w:tcW w:w="2835" w:type="dxa"/>
            <w:vAlign w:val="center"/>
          </w:tcPr>
          <w:p>
            <w:pPr>
              <w:pStyle w:val="14"/>
            </w:pPr>
            <w:r>
              <w:t>其中：财政    资金</w:t>
            </w:r>
          </w:p>
        </w:tc>
        <w:tc>
          <w:tcPr>
            <w:tcW w:w="2551" w:type="dxa"/>
            <w:vAlign w:val="center"/>
          </w:tcPr>
          <w:p>
            <w:pPr>
              <w:pStyle w:val="16"/>
            </w:pPr>
            <w:r>
              <w:t>20.00</w:t>
            </w:r>
          </w:p>
        </w:tc>
        <w:tc>
          <w:tcPr>
            <w:tcW w:w="2268" w:type="dxa"/>
            <w:vAlign w:val="center"/>
          </w:tcPr>
          <w:p>
            <w:pPr>
              <w:pStyle w:val="14"/>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 xml:space="preserve"> 保障排污评审会正常召开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pPr>
            <w:r>
              <w:t>5.00</w:t>
            </w:r>
          </w:p>
        </w:tc>
        <w:tc>
          <w:tcPr>
            <w:tcW w:w="2835" w:type="dxa"/>
            <w:vAlign w:val="center"/>
          </w:tcPr>
          <w:p>
            <w:pPr>
              <w:pStyle w:val="17"/>
            </w:pPr>
            <w:r>
              <w:t>10.00</w:t>
            </w:r>
          </w:p>
        </w:tc>
        <w:tc>
          <w:tcPr>
            <w:tcW w:w="2551" w:type="dxa"/>
            <w:vAlign w:val="center"/>
          </w:tcPr>
          <w:p>
            <w:pPr>
              <w:pStyle w:val="17"/>
            </w:pPr>
            <w:r>
              <w:t>15.00</w:t>
            </w:r>
          </w:p>
        </w:tc>
        <w:tc>
          <w:tcPr>
            <w:tcW w:w="3544" w:type="dxa"/>
            <w:gridSpan w:val="2"/>
            <w:vAlign w:val="center"/>
          </w:tcPr>
          <w:p>
            <w:pPr>
              <w:pStyle w:val="17"/>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1.保证评审工作顺利完成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 xml:space="preserve"> 预计召开评审项目120个</w:t>
            </w:r>
          </w:p>
        </w:tc>
        <w:tc>
          <w:tcPr>
            <w:tcW w:w="5386" w:type="dxa"/>
            <w:vAlign w:val="center"/>
          </w:tcPr>
          <w:p>
            <w:pPr>
              <w:pStyle w:val="16"/>
            </w:pPr>
            <w:r>
              <w:t xml:space="preserve"> 顺利召开评审项目120个</w:t>
            </w:r>
          </w:p>
        </w:tc>
        <w:tc>
          <w:tcPr>
            <w:tcW w:w="2268" w:type="dxa"/>
            <w:vAlign w:val="center"/>
          </w:tcPr>
          <w:p>
            <w:pPr>
              <w:pStyle w:val="16"/>
            </w:pPr>
            <w:r>
              <w:t xml:space="preserve"> 顺利召开评审项目120个</w:t>
            </w:r>
          </w:p>
        </w:tc>
        <w:tc>
          <w:tcPr>
            <w:tcW w:w="1276" w:type="dxa"/>
            <w:vAlign w:val="center"/>
          </w:tcPr>
          <w:p>
            <w:pPr>
              <w:pStyle w:val="16"/>
            </w:pPr>
            <w:r>
              <w:t xml:space="preserve"> 顺利召开评审项目120个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专家评审论证通过率</w:t>
            </w:r>
          </w:p>
        </w:tc>
        <w:tc>
          <w:tcPr>
            <w:tcW w:w="5386" w:type="dxa"/>
            <w:vAlign w:val="center"/>
          </w:tcPr>
          <w:p>
            <w:pPr>
              <w:pStyle w:val="16"/>
            </w:pPr>
            <w:r>
              <w:t>反映专家评审论证通过情况</w:t>
            </w:r>
          </w:p>
        </w:tc>
        <w:tc>
          <w:tcPr>
            <w:tcW w:w="2268" w:type="dxa"/>
            <w:vAlign w:val="center"/>
          </w:tcPr>
          <w:p>
            <w:pPr>
              <w:pStyle w:val="16"/>
            </w:pPr>
            <w:r>
              <w:t>100百分比</w:t>
            </w:r>
          </w:p>
        </w:tc>
        <w:tc>
          <w:tcPr>
            <w:tcW w:w="1276" w:type="dxa"/>
            <w:vAlign w:val="center"/>
          </w:tcPr>
          <w:p>
            <w:pPr>
              <w:pStyle w:val="16"/>
            </w:pPr>
            <w:r>
              <w:t>项目评审通过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评审完成时间</w:t>
            </w:r>
          </w:p>
        </w:tc>
        <w:tc>
          <w:tcPr>
            <w:tcW w:w="5386" w:type="dxa"/>
            <w:vAlign w:val="center"/>
          </w:tcPr>
          <w:p>
            <w:pPr>
              <w:pStyle w:val="16"/>
            </w:pPr>
            <w:r>
              <w:t>评审完成时间</w:t>
            </w:r>
          </w:p>
        </w:tc>
        <w:tc>
          <w:tcPr>
            <w:tcW w:w="2268" w:type="dxa"/>
            <w:vAlign w:val="center"/>
          </w:tcPr>
          <w:p>
            <w:pPr>
              <w:pStyle w:val="16"/>
            </w:pPr>
            <w:r>
              <w:t xml:space="preserve"> 及时完成</w:t>
            </w:r>
          </w:p>
        </w:tc>
        <w:tc>
          <w:tcPr>
            <w:tcW w:w="1276" w:type="dxa"/>
            <w:vAlign w:val="center"/>
          </w:tcPr>
          <w:p>
            <w:pPr>
              <w:pStyle w:val="16"/>
            </w:pPr>
            <w:r>
              <w:t xml:space="preserve"> 及时完成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评审总经费</w:t>
            </w:r>
          </w:p>
        </w:tc>
        <w:tc>
          <w:tcPr>
            <w:tcW w:w="5386" w:type="dxa"/>
            <w:vAlign w:val="center"/>
          </w:tcPr>
          <w:p>
            <w:pPr>
              <w:pStyle w:val="16"/>
            </w:pPr>
            <w:r>
              <w:t>评审总经费</w:t>
            </w:r>
          </w:p>
        </w:tc>
        <w:tc>
          <w:tcPr>
            <w:tcW w:w="2268" w:type="dxa"/>
            <w:vAlign w:val="center"/>
          </w:tcPr>
          <w:p>
            <w:pPr>
              <w:pStyle w:val="16"/>
            </w:pPr>
            <w:r>
              <w:t xml:space="preserve"> 控制在预算成本内</w:t>
            </w:r>
          </w:p>
        </w:tc>
        <w:tc>
          <w:tcPr>
            <w:tcW w:w="1276" w:type="dxa"/>
            <w:vAlign w:val="center"/>
          </w:tcPr>
          <w:p>
            <w:pPr>
              <w:pStyle w:val="16"/>
            </w:pPr>
            <w:r>
              <w:t xml:space="preserve">  控制在预算成本内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持续发展作用力</w:t>
            </w:r>
          </w:p>
        </w:tc>
        <w:tc>
          <w:tcPr>
            <w:tcW w:w="5386" w:type="dxa"/>
            <w:vAlign w:val="center"/>
          </w:tcPr>
          <w:p>
            <w:pPr>
              <w:pStyle w:val="16"/>
            </w:pPr>
            <w:r>
              <w:t>持续发展作用力</w:t>
            </w:r>
          </w:p>
        </w:tc>
        <w:tc>
          <w:tcPr>
            <w:tcW w:w="2268" w:type="dxa"/>
            <w:vAlign w:val="center"/>
          </w:tcPr>
          <w:p>
            <w:pPr>
              <w:pStyle w:val="16"/>
            </w:pPr>
            <w:r>
              <w:t xml:space="preserve"> 确保企业顺利开展后续工作</w:t>
            </w:r>
          </w:p>
        </w:tc>
        <w:tc>
          <w:tcPr>
            <w:tcW w:w="1276" w:type="dxa"/>
            <w:vAlign w:val="center"/>
          </w:tcPr>
          <w:p>
            <w:pPr>
              <w:pStyle w:val="16"/>
            </w:pPr>
            <w:r>
              <w:t xml:space="preserve"> 确保企业顺利开展后续工作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企业评价满意度</w:t>
            </w:r>
          </w:p>
        </w:tc>
        <w:tc>
          <w:tcPr>
            <w:tcW w:w="5386" w:type="dxa"/>
            <w:vAlign w:val="center"/>
          </w:tcPr>
          <w:p>
            <w:pPr>
              <w:pStyle w:val="16"/>
            </w:pPr>
            <w:r>
              <w:t>企业评价满意度</w:t>
            </w:r>
          </w:p>
        </w:tc>
        <w:tc>
          <w:tcPr>
            <w:tcW w:w="2268" w:type="dxa"/>
            <w:vAlign w:val="center"/>
          </w:tcPr>
          <w:p>
            <w:pPr>
              <w:pStyle w:val="16"/>
            </w:pPr>
            <w:r>
              <w:t>100 百分比</w:t>
            </w:r>
          </w:p>
        </w:tc>
        <w:tc>
          <w:tcPr>
            <w:tcW w:w="1276" w:type="dxa"/>
            <w:vAlign w:val="center"/>
          </w:tcPr>
          <w:p>
            <w:pPr>
              <w:pStyle w:val="16"/>
            </w:pPr>
            <w:r>
              <w:t xml:space="preserve"> 企业满意度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3、投资项目委托咨询节能审查评审绩效目标表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13091626P00016610004L</w:t>
            </w:r>
          </w:p>
        </w:tc>
        <w:tc>
          <w:tcPr>
            <w:tcW w:w="2835" w:type="dxa"/>
            <w:vAlign w:val="center"/>
          </w:tcPr>
          <w:p>
            <w:pPr>
              <w:pStyle w:val="14"/>
            </w:pPr>
            <w:r>
              <w:t>项目名称</w:t>
            </w:r>
          </w:p>
        </w:tc>
        <w:tc>
          <w:tcPr>
            <w:tcW w:w="6095" w:type="dxa"/>
            <w:gridSpan w:val="3"/>
            <w:vAlign w:val="center"/>
          </w:tcPr>
          <w:p>
            <w:pPr>
              <w:pStyle w:val="16"/>
            </w:pPr>
            <w:r>
              <w:t>投资项目委托咨询节能审查评审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10.00</w:t>
            </w:r>
          </w:p>
        </w:tc>
        <w:tc>
          <w:tcPr>
            <w:tcW w:w="2835" w:type="dxa"/>
            <w:vAlign w:val="center"/>
          </w:tcPr>
          <w:p>
            <w:pPr>
              <w:pStyle w:val="14"/>
            </w:pPr>
            <w:r>
              <w:t>其中：财政    资金</w:t>
            </w:r>
          </w:p>
        </w:tc>
        <w:tc>
          <w:tcPr>
            <w:tcW w:w="2551" w:type="dxa"/>
            <w:vAlign w:val="center"/>
          </w:tcPr>
          <w:p>
            <w:pPr>
              <w:pStyle w:val="16"/>
            </w:pPr>
            <w:r>
              <w:t>10.00</w:t>
            </w:r>
          </w:p>
        </w:tc>
        <w:tc>
          <w:tcPr>
            <w:tcW w:w="2268" w:type="dxa"/>
            <w:vAlign w:val="center"/>
          </w:tcPr>
          <w:p>
            <w:pPr>
              <w:pStyle w:val="14"/>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 xml:space="preserve"> 保障节能评审会的正常召开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pPr>
            <w:r>
              <w:t>3.00</w:t>
            </w:r>
          </w:p>
        </w:tc>
        <w:tc>
          <w:tcPr>
            <w:tcW w:w="2835" w:type="dxa"/>
            <w:vAlign w:val="center"/>
          </w:tcPr>
          <w:p>
            <w:pPr>
              <w:pStyle w:val="17"/>
            </w:pPr>
            <w:r>
              <w:t>5.00</w:t>
            </w:r>
          </w:p>
        </w:tc>
        <w:tc>
          <w:tcPr>
            <w:tcW w:w="2551" w:type="dxa"/>
            <w:vAlign w:val="center"/>
          </w:tcPr>
          <w:p>
            <w:pPr>
              <w:pStyle w:val="17"/>
            </w:pPr>
            <w:r>
              <w:t>7.00</w:t>
            </w:r>
          </w:p>
        </w:tc>
        <w:tc>
          <w:tcPr>
            <w:tcW w:w="3544" w:type="dxa"/>
            <w:gridSpan w:val="2"/>
            <w:vAlign w:val="center"/>
          </w:tcPr>
          <w:p>
            <w:pPr>
              <w:pStyle w:val="17"/>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1.保证项目费用正常支出</w:t>
            </w:r>
            <w:r>
              <w:tab/>
            </w:r>
            <w:r>
              <w:tab/>
            </w:r>
            <w:r>
              <w:tab/>
            </w:r>
            <w:r>
              <w:tab/>
            </w:r>
            <w:r>
              <w:tab/>
            </w:r>
            <w:r>
              <w:tab/>
            </w:r>
          </w:p>
          <w:p>
            <w:pPr>
              <w:pStyle w:val="16"/>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 xml:space="preserve"> 组织开发区企业开展项目节能评审8次</w:t>
            </w:r>
          </w:p>
          <w:p>
            <w:pPr>
              <w:pStyle w:val="16"/>
            </w:pPr>
          </w:p>
        </w:tc>
        <w:tc>
          <w:tcPr>
            <w:tcW w:w="5386" w:type="dxa"/>
            <w:vAlign w:val="center"/>
          </w:tcPr>
          <w:p>
            <w:pPr>
              <w:pStyle w:val="16"/>
            </w:pPr>
            <w:r>
              <w:t xml:space="preserve">  组织开发区企业开展项目节能评审8次</w:t>
            </w:r>
          </w:p>
        </w:tc>
        <w:tc>
          <w:tcPr>
            <w:tcW w:w="2268" w:type="dxa"/>
            <w:vAlign w:val="center"/>
          </w:tcPr>
          <w:p>
            <w:pPr>
              <w:pStyle w:val="16"/>
            </w:pPr>
            <w:r>
              <w:t xml:space="preserve">  组织开发区企业开展项目节能评审8次</w:t>
            </w:r>
          </w:p>
        </w:tc>
        <w:tc>
          <w:tcPr>
            <w:tcW w:w="1276" w:type="dxa"/>
            <w:vAlign w:val="center"/>
          </w:tcPr>
          <w:p>
            <w:pPr>
              <w:pStyle w:val="16"/>
            </w:pPr>
            <w:r>
              <w:t xml:space="preserve">  组织开发区企业开展项目节能评审8次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 xml:space="preserve"> 通过专家评审会</w:t>
            </w:r>
          </w:p>
          <w:p>
            <w:pPr>
              <w:pStyle w:val="16"/>
            </w:pPr>
          </w:p>
        </w:tc>
        <w:tc>
          <w:tcPr>
            <w:tcW w:w="5386" w:type="dxa"/>
            <w:vAlign w:val="center"/>
          </w:tcPr>
          <w:p>
            <w:pPr>
              <w:pStyle w:val="16"/>
            </w:pPr>
            <w:r>
              <w:t xml:space="preserve"> 通过专家评审会</w:t>
            </w:r>
          </w:p>
          <w:p>
            <w:pPr>
              <w:pStyle w:val="16"/>
            </w:pPr>
          </w:p>
        </w:tc>
        <w:tc>
          <w:tcPr>
            <w:tcW w:w="2268" w:type="dxa"/>
            <w:vAlign w:val="center"/>
          </w:tcPr>
          <w:p>
            <w:pPr>
              <w:pStyle w:val="16"/>
            </w:pPr>
            <w:r>
              <w:t>通过专家评审会</w:t>
            </w:r>
          </w:p>
        </w:tc>
        <w:tc>
          <w:tcPr>
            <w:tcW w:w="1276" w:type="dxa"/>
            <w:vAlign w:val="center"/>
          </w:tcPr>
          <w:p>
            <w:pPr>
              <w:pStyle w:val="16"/>
            </w:pPr>
            <w:r>
              <w:t xml:space="preserve"> 通过专家评审会</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 xml:space="preserve"> 完成及时率</w:t>
            </w:r>
          </w:p>
          <w:p>
            <w:pPr>
              <w:pStyle w:val="16"/>
            </w:pPr>
          </w:p>
        </w:tc>
        <w:tc>
          <w:tcPr>
            <w:tcW w:w="5386" w:type="dxa"/>
            <w:vAlign w:val="center"/>
          </w:tcPr>
          <w:p>
            <w:pPr>
              <w:pStyle w:val="16"/>
            </w:pPr>
            <w:r>
              <w:t xml:space="preserve"> 完成及时率</w:t>
            </w:r>
          </w:p>
          <w:p>
            <w:pPr>
              <w:pStyle w:val="16"/>
            </w:pPr>
          </w:p>
        </w:tc>
        <w:tc>
          <w:tcPr>
            <w:tcW w:w="2268" w:type="dxa"/>
            <w:vAlign w:val="center"/>
          </w:tcPr>
          <w:p>
            <w:pPr>
              <w:pStyle w:val="16"/>
            </w:pPr>
            <w:r>
              <w:t>100 百分比</w:t>
            </w:r>
          </w:p>
        </w:tc>
        <w:tc>
          <w:tcPr>
            <w:tcW w:w="1276" w:type="dxa"/>
            <w:vAlign w:val="center"/>
          </w:tcPr>
          <w:p>
            <w:pPr>
              <w:pStyle w:val="16"/>
            </w:pPr>
            <w:r>
              <w:t xml:space="preserve"> 通过专家评审会，保证项目开工建设</w:t>
            </w:r>
            <w:r>
              <w:tab/>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 xml:space="preserve"> 按预算资金完成率</w:t>
            </w:r>
          </w:p>
          <w:p>
            <w:pPr>
              <w:pStyle w:val="16"/>
            </w:pPr>
          </w:p>
        </w:tc>
        <w:tc>
          <w:tcPr>
            <w:tcW w:w="5386" w:type="dxa"/>
            <w:vAlign w:val="center"/>
          </w:tcPr>
          <w:p>
            <w:pPr>
              <w:pStyle w:val="16"/>
            </w:pPr>
            <w:r>
              <w:t xml:space="preserve"> 按预算资金完成率</w:t>
            </w:r>
          </w:p>
          <w:p>
            <w:pPr>
              <w:pStyle w:val="16"/>
            </w:pPr>
          </w:p>
        </w:tc>
        <w:tc>
          <w:tcPr>
            <w:tcW w:w="2268" w:type="dxa"/>
            <w:vAlign w:val="center"/>
          </w:tcPr>
          <w:p>
            <w:pPr>
              <w:pStyle w:val="16"/>
            </w:pPr>
            <w:r>
              <w:t>100 百分比</w:t>
            </w:r>
          </w:p>
        </w:tc>
        <w:tc>
          <w:tcPr>
            <w:tcW w:w="1276" w:type="dxa"/>
            <w:vAlign w:val="center"/>
          </w:tcPr>
          <w:p>
            <w:pPr>
              <w:pStyle w:val="16"/>
            </w:pPr>
            <w:r>
              <w:t xml:space="preserve"> 按预算资金完成率</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 xml:space="preserve"> 保证按时正常组织项目评审，开工建设</w:t>
            </w:r>
          </w:p>
          <w:p>
            <w:pPr>
              <w:pStyle w:val="16"/>
            </w:pPr>
          </w:p>
        </w:tc>
        <w:tc>
          <w:tcPr>
            <w:tcW w:w="5386" w:type="dxa"/>
            <w:vAlign w:val="center"/>
          </w:tcPr>
          <w:p>
            <w:pPr>
              <w:pStyle w:val="16"/>
            </w:pPr>
            <w:r>
              <w:t xml:space="preserve"> 保证按时正常组织项目评审，开工建设</w:t>
            </w:r>
          </w:p>
          <w:p>
            <w:pPr>
              <w:pStyle w:val="16"/>
            </w:pPr>
          </w:p>
        </w:tc>
        <w:tc>
          <w:tcPr>
            <w:tcW w:w="2268" w:type="dxa"/>
            <w:vAlign w:val="center"/>
          </w:tcPr>
          <w:p>
            <w:pPr>
              <w:pStyle w:val="16"/>
            </w:pPr>
            <w:r>
              <w:t>保证按时正常组织项目评审，开工建设</w:t>
            </w:r>
          </w:p>
          <w:p>
            <w:pPr>
              <w:pStyle w:val="16"/>
            </w:pPr>
          </w:p>
        </w:tc>
        <w:tc>
          <w:tcPr>
            <w:tcW w:w="1276" w:type="dxa"/>
            <w:vAlign w:val="center"/>
          </w:tcPr>
          <w:p>
            <w:pPr>
              <w:pStyle w:val="16"/>
            </w:pPr>
            <w:r>
              <w:t xml:space="preserve"> 保证按时正常组织项目评审，开工建设</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企业满意度</w:t>
            </w:r>
          </w:p>
        </w:tc>
        <w:tc>
          <w:tcPr>
            <w:tcW w:w="5386" w:type="dxa"/>
            <w:vAlign w:val="center"/>
          </w:tcPr>
          <w:p>
            <w:pPr>
              <w:pStyle w:val="16"/>
            </w:pPr>
            <w:r>
              <w:t>企业满意度</w:t>
            </w:r>
          </w:p>
        </w:tc>
        <w:tc>
          <w:tcPr>
            <w:tcW w:w="2268" w:type="dxa"/>
            <w:vAlign w:val="center"/>
          </w:tcPr>
          <w:p>
            <w:pPr>
              <w:pStyle w:val="16"/>
            </w:pPr>
            <w:r>
              <w:t>100百分比</w:t>
            </w:r>
          </w:p>
        </w:tc>
        <w:tc>
          <w:tcPr>
            <w:tcW w:w="1276" w:type="dxa"/>
            <w:vAlign w:val="center"/>
          </w:tcPr>
          <w:p>
            <w:pPr>
              <w:pStyle w:val="16"/>
            </w:pPr>
            <w:r>
              <w:t>企业满意度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4、掌上临港小程序绩效目标表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13091626P000CJ410012R</w:t>
            </w:r>
          </w:p>
        </w:tc>
        <w:tc>
          <w:tcPr>
            <w:tcW w:w="2835" w:type="dxa"/>
            <w:vAlign w:val="center"/>
          </w:tcPr>
          <w:p>
            <w:pPr>
              <w:pStyle w:val="14"/>
            </w:pPr>
            <w:r>
              <w:t>项目名称</w:t>
            </w:r>
          </w:p>
        </w:tc>
        <w:tc>
          <w:tcPr>
            <w:tcW w:w="6095" w:type="dxa"/>
            <w:gridSpan w:val="3"/>
            <w:vAlign w:val="center"/>
          </w:tcPr>
          <w:p>
            <w:pPr>
              <w:pStyle w:val="16"/>
            </w:pPr>
            <w:r>
              <w:t>掌上临港小程序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7.00</w:t>
            </w:r>
          </w:p>
        </w:tc>
        <w:tc>
          <w:tcPr>
            <w:tcW w:w="2835" w:type="dxa"/>
            <w:vAlign w:val="center"/>
          </w:tcPr>
          <w:p>
            <w:pPr>
              <w:pStyle w:val="14"/>
            </w:pPr>
            <w:r>
              <w:t>其中：财政    资金</w:t>
            </w:r>
          </w:p>
        </w:tc>
        <w:tc>
          <w:tcPr>
            <w:tcW w:w="2551" w:type="dxa"/>
            <w:vAlign w:val="center"/>
          </w:tcPr>
          <w:p>
            <w:pPr>
              <w:pStyle w:val="16"/>
            </w:pPr>
            <w:r>
              <w:t>7.00</w:t>
            </w:r>
          </w:p>
        </w:tc>
        <w:tc>
          <w:tcPr>
            <w:tcW w:w="2268" w:type="dxa"/>
            <w:vAlign w:val="center"/>
          </w:tcPr>
          <w:p>
            <w:pPr>
              <w:pStyle w:val="14"/>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用于掌上临港小程序的运行和维护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pPr>
            <w:r>
              <w:t>3.00</w:t>
            </w:r>
          </w:p>
        </w:tc>
        <w:tc>
          <w:tcPr>
            <w:tcW w:w="2835" w:type="dxa"/>
            <w:vAlign w:val="center"/>
          </w:tcPr>
          <w:p>
            <w:pPr>
              <w:pStyle w:val="17"/>
            </w:pPr>
            <w:r>
              <w:t>5.00</w:t>
            </w:r>
          </w:p>
        </w:tc>
        <w:tc>
          <w:tcPr>
            <w:tcW w:w="2551" w:type="dxa"/>
            <w:vAlign w:val="center"/>
          </w:tcPr>
          <w:p>
            <w:pPr>
              <w:pStyle w:val="17"/>
            </w:pPr>
            <w:r>
              <w:t>6.00</w:t>
            </w:r>
          </w:p>
        </w:tc>
        <w:tc>
          <w:tcPr>
            <w:tcW w:w="3544" w:type="dxa"/>
            <w:gridSpan w:val="2"/>
            <w:vAlign w:val="center"/>
          </w:tcPr>
          <w:p>
            <w:pPr>
              <w:pStyle w:val="17"/>
            </w:pPr>
            <w:r>
              <w:t>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1.保障临港小程序正常运行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系统平台正常运行率</w:t>
            </w:r>
          </w:p>
        </w:tc>
        <w:tc>
          <w:tcPr>
            <w:tcW w:w="5386" w:type="dxa"/>
            <w:vAlign w:val="center"/>
          </w:tcPr>
          <w:p>
            <w:pPr>
              <w:pStyle w:val="16"/>
            </w:pPr>
            <w:r>
              <w:t>系统平台正常运行率</w:t>
            </w:r>
          </w:p>
        </w:tc>
        <w:tc>
          <w:tcPr>
            <w:tcW w:w="2268" w:type="dxa"/>
            <w:vAlign w:val="center"/>
          </w:tcPr>
          <w:p>
            <w:pPr>
              <w:pStyle w:val="16"/>
            </w:pPr>
            <w:r>
              <w:t>程序正常运行</w:t>
            </w:r>
          </w:p>
        </w:tc>
        <w:tc>
          <w:tcPr>
            <w:tcW w:w="1276" w:type="dxa"/>
            <w:vAlign w:val="center"/>
          </w:tcPr>
          <w:p>
            <w:pPr>
              <w:pStyle w:val="16"/>
            </w:pPr>
            <w:r>
              <w:t xml:space="preserve"> 程序正常运行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正常运转率</w:t>
            </w:r>
          </w:p>
        </w:tc>
        <w:tc>
          <w:tcPr>
            <w:tcW w:w="5386" w:type="dxa"/>
            <w:vAlign w:val="center"/>
          </w:tcPr>
          <w:p>
            <w:pPr>
              <w:pStyle w:val="16"/>
            </w:pPr>
            <w:r>
              <w:t>正常运转率</w:t>
            </w:r>
          </w:p>
        </w:tc>
        <w:tc>
          <w:tcPr>
            <w:tcW w:w="2268" w:type="dxa"/>
            <w:vAlign w:val="center"/>
          </w:tcPr>
          <w:p>
            <w:pPr>
              <w:pStyle w:val="16"/>
            </w:pPr>
            <w:r>
              <w:t>程序正常运行</w:t>
            </w:r>
          </w:p>
        </w:tc>
        <w:tc>
          <w:tcPr>
            <w:tcW w:w="1276" w:type="dxa"/>
            <w:vAlign w:val="center"/>
          </w:tcPr>
          <w:p>
            <w:pPr>
              <w:pStyle w:val="16"/>
            </w:pPr>
            <w:r>
              <w:t>程序正常运行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系统运维及时性</w:t>
            </w:r>
          </w:p>
        </w:tc>
        <w:tc>
          <w:tcPr>
            <w:tcW w:w="5386" w:type="dxa"/>
            <w:vAlign w:val="center"/>
          </w:tcPr>
          <w:p>
            <w:pPr>
              <w:pStyle w:val="16"/>
            </w:pPr>
            <w:r>
              <w:t>系统运维及时性</w:t>
            </w:r>
          </w:p>
        </w:tc>
        <w:tc>
          <w:tcPr>
            <w:tcW w:w="2268" w:type="dxa"/>
            <w:vAlign w:val="center"/>
          </w:tcPr>
          <w:p>
            <w:pPr>
              <w:pStyle w:val="16"/>
            </w:pPr>
            <w:r>
              <w:t>系统运维及时性</w:t>
            </w:r>
          </w:p>
          <w:p>
            <w:pPr>
              <w:pStyle w:val="16"/>
            </w:pPr>
          </w:p>
        </w:tc>
        <w:tc>
          <w:tcPr>
            <w:tcW w:w="1276" w:type="dxa"/>
            <w:vAlign w:val="center"/>
          </w:tcPr>
          <w:p>
            <w:pPr>
              <w:pStyle w:val="16"/>
            </w:pPr>
            <w:r>
              <w:t xml:space="preserve"> 系统运维及时性</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系统运维费</w:t>
            </w:r>
          </w:p>
        </w:tc>
        <w:tc>
          <w:tcPr>
            <w:tcW w:w="5386" w:type="dxa"/>
            <w:vAlign w:val="center"/>
          </w:tcPr>
          <w:p>
            <w:pPr>
              <w:pStyle w:val="16"/>
            </w:pPr>
            <w:r>
              <w:t>系统运维费</w:t>
            </w:r>
          </w:p>
        </w:tc>
        <w:tc>
          <w:tcPr>
            <w:tcW w:w="2268" w:type="dxa"/>
            <w:vAlign w:val="center"/>
          </w:tcPr>
          <w:p>
            <w:pPr>
              <w:pStyle w:val="16"/>
            </w:pPr>
            <w:r>
              <w:t>控制在预算内</w:t>
            </w:r>
          </w:p>
        </w:tc>
        <w:tc>
          <w:tcPr>
            <w:tcW w:w="1276" w:type="dxa"/>
            <w:vAlign w:val="center"/>
          </w:tcPr>
          <w:p>
            <w:pPr>
              <w:pStyle w:val="16"/>
            </w:pPr>
            <w:r>
              <w:t xml:space="preserve"> 程序正常运行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持续发展作用力</w:t>
            </w:r>
          </w:p>
        </w:tc>
        <w:tc>
          <w:tcPr>
            <w:tcW w:w="5386" w:type="dxa"/>
            <w:vAlign w:val="center"/>
          </w:tcPr>
          <w:p>
            <w:pPr>
              <w:pStyle w:val="16"/>
            </w:pPr>
            <w:r>
              <w:t>持续发展作用力</w:t>
            </w:r>
          </w:p>
        </w:tc>
        <w:tc>
          <w:tcPr>
            <w:tcW w:w="2268" w:type="dxa"/>
            <w:vAlign w:val="center"/>
          </w:tcPr>
          <w:p>
            <w:pPr>
              <w:pStyle w:val="16"/>
            </w:pPr>
            <w:r>
              <w:t>可持续发展</w:t>
            </w:r>
          </w:p>
        </w:tc>
        <w:tc>
          <w:tcPr>
            <w:tcW w:w="1276" w:type="dxa"/>
            <w:vAlign w:val="center"/>
          </w:tcPr>
          <w:p>
            <w:pPr>
              <w:pStyle w:val="16"/>
            </w:pPr>
            <w:r>
              <w:t xml:space="preserve"> 可持续发展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使用人员满意度</w:t>
            </w:r>
          </w:p>
        </w:tc>
        <w:tc>
          <w:tcPr>
            <w:tcW w:w="5386" w:type="dxa"/>
            <w:vAlign w:val="center"/>
          </w:tcPr>
          <w:p>
            <w:pPr>
              <w:pStyle w:val="16"/>
            </w:pPr>
            <w:r>
              <w:t>使用人员满意度</w:t>
            </w:r>
          </w:p>
        </w:tc>
        <w:tc>
          <w:tcPr>
            <w:tcW w:w="2268" w:type="dxa"/>
            <w:vAlign w:val="center"/>
          </w:tcPr>
          <w:p>
            <w:pPr>
              <w:pStyle w:val="16"/>
            </w:pPr>
            <w:r>
              <w:t>100 百分比</w:t>
            </w:r>
          </w:p>
        </w:tc>
        <w:tc>
          <w:tcPr>
            <w:tcW w:w="1276" w:type="dxa"/>
            <w:vAlign w:val="center"/>
          </w:tcPr>
          <w:p>
            <w:pPr>
              <w:pStyle w:val="16"/>
            </w:pPr>
            <w:r>
              <w:t xml:space="preserve"> 使用人员满意度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5、综合事务管理绩效目标表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13091626P00K13R10007N</w:t>
            </w:r>
          </w:p>
        </w:tc>
        <w:tc>
          <w:tcPr>
            <w:tcW w:w="2835" w:type="dxa"/>
            <w:vAlign w:val="center"/>
          </w:tcPr>
          <w:p>
            <w:pPr>
              <w:pStyle w:val="14"/>
            </w:pPr>
            <w:r>
              <w:t>项目名称</w:t>
            </w:r>
          </w:p>
        </w:tc>
        <w:tc>
          <w:tcPr>
            <w:tcW w:w="6095" w:type="dxa"/>
            <w:gridSpan w:val="3"/>
            <w:vAlign w:val="center"/>
          </w:tcPr>
          <w:p>
            <w:pPr>
              <w:pStyle w:val="16"/>
            </w:pPr>
            <w:r>
              <w:t>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12.00</w:t>
            </w:r>
          </w:p>
        </w:tc>
        <w:tc>
          <w:tcPr>
            <w:tcW w:w="2835" w:type="dxa"/>
            <w:vAlign w:val="center"/>
          </w:tcPr>
          <w:p>
            <w:pPr>
              <w:pStyle w:val="14"/>
            </w:pPr>
            <w:r>
              <w:t>其中：财政    资金</w:t>
            </w:r>
          </w:p>
        </w:tc>
        <w:tc>
          <w:tcPr>
            <w:tcW w:w="2551" w:type="dxa"/>
            <w:vAlign w:val="center"/>
          </w:tcPr>
          <w:p>
            <w:pPr>
              <w:pStyle w:val="16"/>
            </w:pPr>
            <w:r>
              <w:t>12.00</w:t>
            </w:r>
          </w:p>
        </w:tc>
        <w:tc>
          <w:tcPr>
            <w:tcW w:w="2268" w:type="dxa"/>
            <w:vAlign w:val="center"/>
          </w:tcPr>
          <w:p>
            <w:pPr>
              <w:pStyle w:val="14"/>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 xml:space="preserve"> 保障日常办公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pPr>
            <w:r>
              <w:t>3.00</w:t>
            </w:r>
          </w:p>
        </w:tc>
        <w:tc>
          <w:tcPr>
            <w:tcW w:w="2835" w:type="dxa"/>
            <w:vAlign w:val="center"/>
          </w:tcPr>
          <w:p>
            <w:pPr>
              <w:pStyle w:val="17"/>
            </w:pPr>
            <w:r>
              <w:t>6.00</w:t>
            </w:r>
          </w:p>
        </w:tc>
        <w:tc>
          <w:tcPr>
            <w:tcW w:w="2551" w:type="dxa"/>
            <w:vAlign w:val="center"/>
          </w:tcPr>
          <w:p>
            <w:pPr>
              <w:pStyle w:val="17"/>
            </w:pPr>
            <w:r>
              <w:t>9.00</w:t>
            </w:r>
          </w:p>
        </w:tc>
        <w:tc>
          <w:tcPr>
            <w:tcW w:w="3544" w:type="dxa"/>
            <w:gridSpan w:val="2"/>
            <w:vAlign w:val="center"/>
          </w:tcPr>
          <w:p>
            <w:pPr>
              <w:pStyle w:val="17"/>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1.保障局内工作正常进行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综合事务完成率</w:t>
            </w:r>
          </w:p>
        </w:tc>
        <w:tc>
          <w:tcPr>
            <w:tcW w:w="5386" w:type="dxa"/>
            <w:vAlign w:val="center"/>
          </w:tcPr>
          <w:p>
            <w:pPr>
              <w:pStyle w:val="16"/>
            </w:pPr>
            <w:r>
              <w:t>综合事务完成率</w:t>
            </w:r>
          </w:p>
        </w:tc>
        <w:tc>
          <w:tcPr>
            <w:tcW w:w="2268" w:type="dxa"/>
            <w:vAlign w:val="center"/>
          </w:tcPr>
          <w:p>
            <w:pPr>
              <w:pStyle w:val="16"/>
            </w:pPr>
            <w:r>
              <w:t>100 百分比</w:t>
            </w:r>
          </w:p>
        </w:tc>
        <w:tc>
          <w:tcPr>
            <w:tcW w:w="1276" w:type="dxa"/>
            <w:vAlign w:val="center"/>
          </w:tcPr>
          <w:p>
            <w:pPr>
              <w:pStyle w:val="16"/>
            </w:pPr>
            <w:r>
              <w:t xml:space="preserve"> 保障局内工作正常进行</w:t>
            </w:r>
            <w:r>
              <w:tab/>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综合事务管理工作完成率</w:t>
            </w:r>
          </w:p>
        </w:tc>
        <w:tc>
          <w:tcPr>
            <w:tcW w:w="5386" w:type="dxa"/>
            <w:vAlign w:val="center"/>
          </w:tcPr>
          <w:p>
            <w:pPr>
              <w:pStyle w:val="16"/>
            </w:pPr>
            <w:r>
              <w:t>综合事务管理工作完成率</w:t>
            </w:r>
          </w:p>
        </w:tc>
        <w:tc>
          <w:tcPr>
            <w:tcW w:w="2268" w:type="dxa"/>
            <w:vAlign w:val="center"/>
          </w:tcPr>
          <w:p>
            <w:pPr>
              <w:pStyle w:val="16"/>
            </w:pPr>
            <w:r>
              <w:t>100 百分比</w:t>
            </w:r>
          </w:p>
        </w:tc>
        <w:tc>
          <w:tcPr>
            <w:tcW w:w="1276" w:type="dxa"/>
            <w:vAlign w:val="center"/>
          </w:tcPr>
          <w:p>
            <w:pPr>
              <w:pStyle w:val="16"/>
            </w:pPr>
            <w:r>
              <w:t xml:space="preserve"> 保障局内工作正常进行</w:t>
            </w:r>
            <w:r>
              <w:tab/>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综合事务管理工作完成率</w:t>
            </w:r>
          </w:p>
        </w:tc>
        <w:tc>
          <w:tcPr>
            <w:tcW w:w="5386" w:type="dxa"/>
            <w:vAlign w:val="center"/>
          </w:tcPr>
          <w:p>
            <w:pPr>
              <w:pStyle w:val="16"/>
            </w:pPr>
            <w:r>
              <w:t>综合事务管理工作完成率</w:t>
            </w:r>
          </w:p>
        </w:tc>
        <w:tc>
          <w:tcPr>
            <w:tcW w:w="2268" w:type="dxa"/>
            <w:vAlign w:val="center"/>
          </w:tcPr>
          <w:p>
            <w:pPr>
              <w:pStyle w:val="16"/>
            </w:pPr>
            <w:r>
              <w:t xml:space="preserve"> 保障局内工作正常进行</w:t>
            </w:r>
          </w:p>
          <w:p>
            <w:pPr>
              <w:pStyle w:val="16"/>
            </w:pPr>
          </w:p>
        </w:tc>
        <w:tc>
          <w:tcPr>
            <w:tcW w:w="1276" w:type="dxa"/>
            <w:vAlign w:val="center"/>
          </w:tcPr>
          <w:p>
            <w:pPr>
              <w:pStyle w:val="16"/>
            </w:pPr>
            <w:r>
              <w:t xml:space="preserve"> 保障局内工作正常进行</w:t>
            </w:r>
            <w:r>
              <w:tab/>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完成综合事务各项工作成本</w:t>
            </w:r>
          </w:p>
        </w:tc>
        <w:tc>
          <w:tcPr>
            <w:tcW w:w="5386" w:type="dxa"/>
            <w:vAlign w:val="center"/>
          </w:tcPr>
          <w:p>
            <w:pPr>
              <w:pStyle w:val="16"/>
            </w:pPr>
            <w:r>
              <w:t>完成综合事务各项工作成本</w:t>
            </w:r>
          </w:p>
        </w:tc>
        <w:tc>
          <w:tcPr>
            <w:tcW w:w="2268" w:type="dxa"/>
            <w:vAlign w:val="center"/>
          </w:tcPr>
          <w:p>
            <w:pPr>
              <w:pStyle w:val="16"/>
            </w:pPr>
            <w:r>
              <w:t>控制预算成本</w:t>
            </w:r>
          </w:p>
        </w:tc>
        <w:tc>
          <w:tcPr>
            <w:tcW w:w="1276" w:type="dxa"/>
            <w:vAlign w:val="center"/>
          </w:tcPr>
          <w:p>
            <w:pPr>
              <w:pStyle w:val="16"/>
            </w:pPr>
            <w:r>
              <w:t xml:space="preserve"> 控制预算成本</w:t>
            </w:r>
            <w:r>
              <w:tab/>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持续发展作用力</w:t>
            </w:r>
          </w:p>
        </w:tc>
        <w:tc>
          <w:tcPr>
            <w:tcW w:w="5386" w:type="dxa"/>
            <w:vAlign w:val="center"/>
          </w:tcPr>
          <w:p>
            <w:pPr>
              <w:pStyle w:val="16"/>
            </w:pPr>
            <w:r>
              <w:t>持续发展作用力</w:t>
            </w:r>
          </w:p>
        </w:tc>
        <w:tc>
          <w:tcPr>
            <w:tcW w:w="2268" w:type="dxa"/>
            <w:vAlign w:val="center"/>
          </w:tcPr>
          <w:p>
            <w:pPr>
              <w:pStyle w:val="16"/>
            </w:pPr>
            <w:r>
              <w:t xml:space="preserve"> 保障局内工作正常进行</w:t>
            </w:r>
          </w:p>
          <w:p>
            <w:pPr>
              <w:pStyle w:val="16"/>
            </w:pPr>
          </w:p>
        </w:tc>
        <w:tc>
          <w:tcPr>
            <w:tcW w:w="1276" w:type="dxa"/>
            <w:vAlign w:val="center"/>
          </w:tcPr>
          <w:p>
            <w:pPr>
              <w:pStyle w:val="16"/>
            </w:pPr>
            <w:r>
              <w:t xml:space="preserve"> 保障局内工作正常进行</w:t>
            </w:r>
            <w:r>
              <w:tab/>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服务满意度</w:t>
            </w:r>
          </w:p>
        </w:tc>
        <w:tc>
          <w:tcPr>
            <w:tcW w:w="5386" w:type="dxa"/>
            <w:vAlign w:val="center"/>
          </w:tcPr>
          <w:p>
            <w:pPr>
              <w:pStyle w:val="16"/>
            </w:pPr>
            <w:r>
              <w:t>服务满意度</w:t>
            </w:r>
          </w:p>
        </w:tc>
        <w:tc>
          <w:tcPr>
            <w:tcW w:w="2268" w:type="dxa"/>
            <w:vAlign w:val="center"/>
          </w:tcPr>
          <w:p>
            <w:pPr>
              <w:pStyle w:val="16"/>
            </w:pPr>
            <w:r>
              <w:t>100 百分比</w:t>
            </w:r>
          </w:p>
        </w:tc>
        <w:tc>
          <w:tcPr>
            <w:tcW w:w="1276" w:type="dxa"/>
            <w:vAlign w:val="center"/>
          </w:tcPr>
          <w:p>
            <w:pPr>
              <w:pStyle w:val="16"/>
            </w:pPr>
            <w:r>
              <w:t>满意度</w:t>
            </w:r>
          </w:p>
          <w:p>
            <w:pPr>
              <w:pStyle w:val="16"/>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434001沧州临港经济技术开发区行政审批局本级</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2" w:type="dxa"/>
            <w:gridSpan w:val="8"/>
            <w:vAlign w:val="center"/>
          </w:tcPr>
          <w:p>
            <w:pPr>
              <w:pStyle w:val="14"/>
            </w:pPr>
            <w:r>
              <w:t>政府采购金额（当年部门预算安排资金）</w:t>
            </w:r>
          </w:p>
        </w:tc>
        <w:tc>
          <w:tcPr>
            <w:tcW w:w="964" w:type="dxa"/>
            <w:vMerge w:val="restart"/>
            <w:vAlign w:val="center"/>
          </w:tcPr>
          <w:p>
            <w:pPr>
              <w:pStyle w:val="14"/>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财政拨款结转</w:t>
            </w:r>
          </w:p>
        </w:tc>
        <w:tc>
          <w:tcPr>
            <w:tcW w:w="964" w:type="dxa"/>
            <w:vAlign w:val="center"/>
          </w:tcPr>
          <w:p>
            <w:pPr>
              <w:pStyle w:val="14"/>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沧州临港经济技术开发区行政审批局本级上年末固定资产金额为0.00万元（详见下表）。本年度拟购置固定资产总额为0.00万元，已按要求列入政府采购预算，详见政府采购预算表。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434001沧州临港经济技术开发区行政审批局本级</w:t>
            </w:r>
          </w:p>
        </w:tc>
        <w:tc>
          <w:tcPr>
            <w:tcW w:w="5670" w:type="dxa"/>
            <w:gridSpan w:val="2"/>
            <w:tcBorders>
              <w:top w:val="single" w:color="FFFFFF" w:sz="6" w:space="0"/>
              <w:left w:val="single" w:color="FFFFFF" w:sz="6" w:space="0"/>
              <w:right w:val="single" w:color="FFFFFF" w:sz="6" w:space="0"/>
            </w:tcBorders>
            <w:vAlign w:val="center"/>
          </w:tcPr>
          <w:p>
            <w:pPr>
              <w:pStyle w:val="11"/>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ind w:firstLine="0" w:firstLineChars="0"/>
            </w:pPr>
            <w:r>
              <w:rPr>
                <w:rFonts w:hint="eastAsia"/>
                <w:lang w:val="en-US" w:eastAsia="zh-CN"/>
              </w:rPr>
              <w:t>固定资产</w:t>
            </w:r>
          </w:p>
        </w:tc>
        <w:tc>
          <w:tcPr>
            <w:tcW w:w="2835" w:type="dxa"/>
            <w:vAlign w:val="center"/>
          </w:tcPr>
          <w:p>
            <w:pPr>
              <w:pStyle w:val="17"/>
              <w:ind w:firstLine="0" w:firstLineChars="0"/>
            </w:pPr>
            <w:r>
              <w:rPr>
                <w:rFonts w:hint="eastAsia"/>
                <w:lang w:val="en-US" w:eastAsia="zh-CN"/>
              </w:rPr>
              <w:t>298</w:t>
            </w:r>
          </w:p>
        </w:tc>
        <w:tc>
          <w:tcPr>
            <w:tcW w:w="2835" w:type="dxa"/>
            <w:vAlign w:val="center"/>
          </w:tcPr>
          <w:p>
            <w:pPr>
              <w:pStyle w:val="15"/>
              <w:ind w:firstLine="0" w:firstLineChars="0"/>
            </w:pPr>
            <w:r>
              <w:rPr>
                <w:rFonts w:hint="eastAsia"/>
                <w:lang w:val="en-US" w:eastAsia="zh-CN"/>
              </w:rPr>
              <w:t>46.2784</w:t>
            </w:r>
            <w:r>
              <w:rPr>
                <w:rFonts w:ascii="Tahoma" w:hAnsi="Tahoma" w:eastAsia="Tahoma" w:cs="Tahoma"/>
                <w:b/>
                <w:i w:val="0"/>
                <w:caps w:val="0"/>
                <w:color w:val="333333"/>
                <w:spacing w:val="0"/>
                <w:sz w:val="18"/>
                <w:szCs w:val="18"/>
                <w:shd w:val="clear" w:fill="F9F9F9"/>
              </w:rPr>
              <w:t>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6"/>
              <w:ind w:firstLine="0" w:firstLineChars="0"/>
            </w:pPr>
            <w:r>
              <w:rPr>
                <w:rFonts w:hint="eastAsia"/>
                <w:lang w:val="en-US" w:eastAsia="zh-CN"/>
              </w:rPr>
              <w:t>无形资产</w:t>
            </w:r>
          </w:p>
        </w:tc>
        <w:tc>
          <w:tcPr>
            <w:tcW w:w="2835" w:type="dxa"/>
            <w:vAlign w:val="center"/>
          </w:tcPr>
          <w:p>
            <w:pPr>
              <w:pStyle w:val="17"/>
              <w:ind w:firstLine="0" w:firstLineChars="0"/>
            </w:pPr>
            <w:r>
              <w:rPr>
                <w:rFonts w:hint="eastAsia"/>
                <w:lang w:val="en-US" w:eastAsia="zh-CN"/>
              </w:rPr>
              <w:t>1</w:t>
            </w:r>
          </w:p>
        </w:tc>
        <w:tc>
          <w:tcPr>
            <w:tcW w:w="2835" w:type="dxa"/>
            <w:vAlign w:val="center"/>
          </w:tcPr>
          <w:p>
            <w:pPr>
              <w:pStyle w:val="15"/>
              <w:ind w:firstLine="0" w:firstLineChars="0"/>
            </w:pPr>
            <w:r>
              <w:rPr>
                <w:rFonts w:hint="eastAsia"/>
                <w:lang w:val="en-US" w:eastAsia="zh-CN"/>
              </w:rPr>
              <w:t>29.75</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C4231"/>
    <w:multiLevelType w:val="singleLevel"/>
    <w:tmpl w:val="9E9C423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04A7D"/>
    <w:rsid w:val="1F591DEC"/>
    <w:rsid w:val="23673BE0"/>
    <w:rsid w:val="6DFC3A99"/>
    <w:rsid w:val="73D66D7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heme="minorEastAsia"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customStyle="1" w:styleId="3">
    <w:name w:val="正文部分 Char Char Char"/>
    <w:basedOn w:val="2"/>
    <w:next w:val="4"/>
    <w:qFormat/>
    <w:uiPriority w:val="0"/>
    <w:pPr>
      <w:adjustRightInd w:val="0"/>
      <w:spacing w:line="460" w:lineRule="exact"/>
      <w:textAlignment w:val="baseline"/>
    </w:pPr>
    <w:rPr>
      <w:rFonts w:ascii="Times New Roman" w:hAnsi="Calibri" w:eastAsia="宋体" w:cs="Times New Roman"/>
      <w:sz w:val="24"/>
    </w:rPr>
  </w:style>
  <w:style w:type="paragraph" w:customStyle="1" w:styleId="4">
    <w:name w:val="章标题"/>
    <w:basedOn w:val="5"/>
    <w:qFormat/>
    <w:uiPriority w:val="0"/>
    <w:pPr>
      <w:spacing w:line="360" w:lineRule="auto"/>
    </w:pPr>
    <w:rPr>
      <w:rFonts w:ascii="Times New Roman" w:hAnsi="Times New Roman" w:eastAsia="宋体" w:cs="Times New Roman"/>
    </w:rPr>
  </w:style>
  <w:style w:type="paragraph" w:styleId="5">
    <w:name w:val="Title"/>
    <w:basedOn w:val="1"/>
    <w:next w:val="1"/>
    <w:qFormat/>
    <w:uiPriority w:val="0"/>
    <w:pPr>
      <w:spacing w:beforeLines="0" w:afterLines="0"/>
      <w:jc w:val="center"/>
      <w:outlineLvl w:val="0"/>
    </w:pPr>
    <w:rPr>
      <w:rFonts w:ascii="Cambria" w:hAnsi="Cambria" w:eastAsia="宋体" w:cs="Times New Roman"/>
      <w:b/>
      <w:bCs/>
      <w:kern w:val="0"/>
      <w:sz w:val="32"/>
      <w:szCs w:val="32"/>
    </w:r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2">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3">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6">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7">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8">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9">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20">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21">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4">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2412</Words>
  <Characters>3237</Characters>
  <TotalTime>0</TotalTime>
  <ScaleCrop>false</ScaleCrop>
  <LinksUpToDate>false</LinksUpToDate>
  <CharactersWithSpaces>3359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2026-03-25T18:50:00Z</dcterms:created>
  <dc:creator>x01</dc:creator>
  <cp:lastModifiedBy>czlg</cp:lastModifiedBy>
  <dcterms:modified xsi:type="dcterms:W3CDTF">2026-04-27T09:37:31Z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eyJoZGlkIjoiMjVhNjM2YWY4ODk2NmJlYzk4ZTg3MmZhOTBhZjIzMGYiLCJ1c2VySWQiOiIxNDg0NzU1NDExIn0=</vt:lpwstr>
  </property>
  <property fmtid="{D5CDD505-2E9C-101B-9397-08002B2CF9AE}" pid="4" name="ICV">
    <vt:lpwstr>80B5826403EF4936A1F610B97BA45079_12</vt:lpwstr>
  </property>
</Properties>
</file>