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4</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4</w:t>
      </w:r>
      <w:r>
        <w:fldChar w:fldCharType="end"/>
      </w:r>
      <w:r>
        <w:fldChar w:fldCharType="end"/>
      </w:r>
    </w:p>
    <w:p>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2"/>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16</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pacing w:before="0" w:after="0" w:line="240" w:lineRule="auto"/>
        <w:ind w:firstLine="0"/>
        <w:jc w:val="center"/>
        <w:outlineLvl w:val="4"/>
      </w:pPr>
      <w:r>
        <w:fldChar w:fldCharType="end"/>
      </w: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p>
      <w:pPr>
        <w:spacing w:before="0" w:after="0" w:line="240" w:lineRule="auto"/>
        <w:ind w:firstLine="0"/>
        <w:jc w:val="center"/>
        <w:outlineLvl w:val="4"/>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211.25</w:t>
            </w:r>
          </w:p>
        </w:tc>
        <w:tc>
          <w:tcPr>
            <w:tcW w:w="4535" w:type="dxa"/>
            <w:vAlign w:val="center"/>
          </w:tcPr>
          <w:p>
            <w:pPr>
              <w:pStyle w:val="12"/>
            </w:pPr>
            <w:r>
              <w:t>一、一般公共服务支出</w:t>
            </w:r>
          </w:p>
        </w:tc>
        <w:tc>
          <w:tcPr>
            <w:tcW w:w="2126" w:type="dxa"/>
            <w:vAlign w:val="center"/>
          </w:tcPr>
          <w:p>
            <w:pPr>
              <w:pStyle w:val="11"/>
            </w:pPr>
            <w:r>
              <w:t>195.56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211.25</w:t>
            </w:r>
          </w:p>
        </w:tc>
        <w:tc>
          <w:tcPr>
            <w:tcW w:w="4535" w:type="dxa"/>
            <w:vAlign w:val="center"/>
          </w:tcPr>
          <w:p>
            <w:pPr>
              <w:pStyle w:val="14"/>
            </w:pPr>
            <w:r>
              <w:t>本年支出合计</w:t>
            </w:r>
          </w:p>
        </w:tc>
        <w:tc>
          <w:tcPr>
            <w:tcW w:w="2126" w:type="dxa"/>
            <w:vAlign w:val="center"/>
          </w:tcPr>
          <w:p>
            <w:pPr>
              <w:pStyle w:val="15"/>
            </w:pPr>
            <w:r>
              <w:t>211.25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211.25</w:t>
            </w:r>
          </w:p>
        </w:tc>
        <w:tc>
          <w:tcPr>
            <w:tcW w:w="4535" w:type="dxa"/>
            <w:vAlign w:val="center"/>
          </w:tcPr>
          <w:p>
            <w:pPr>
              <w:pStyle w:val="14"/>
            </w:pPr>
            <w:r>
              <w:t>支出总计</w:t>
            </w:r>
          </w:p>
        </w:tc>
        <w:tc>
          <w:tcPr>
            <w:tcW w:w="2126" w:type="dxa"/>
            <w:vAlign w:val="center"/>
          </w:tcPr>
          <w:p>
            <w:pPr>
              <w:pStyle w:val="15"/>
            </w:pPr>
            <w:r>
              <w:t>211.25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211.25</w:t>
            </w:r>
          </w:p>
        </w:tc>
        <w:tc>
          <w:tcPr>
            <w:tcW w:w="1134" w:type="dxa"/>
            <w:vAlign w:val="center"/>
          </w:tcPr>
          <w:p>
            <w:pPr>
              <w:pStyle w:val="15"/>
            </w:pPr>
            <w:r>
              <w:t>211.25</w:t>
            </w:r>
          </w:p>
        </w:tc>
        <w:tc>
          <w:tcPr>
            <w:tcW w:w="1134" w:type="dxa"/>
            <w:vAlign w:val="center"/>
          </w:tcPr>
          <w:p>
            <w:pPr>
              <w:pStyle w:val="15"/>
            </w:pPr>
            <w:r>
              <w:t>211.25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195.56</w:t>
            </w:r>
          </w:p>
        </w:tc>
        <w:tc>
          <w:tcPr>
            <w:tcW w:w="1134" w:type="dxa"/>
            <w:vAlign w:val="center"/>
          </w:tcPr>
          <w:p>
            <w:pPr>
              <w:pStyle w:val="11"/>
            </w:pPr>
            <w:r>
              <w:t>195.56</w:t>
            </w:r>
          </w:p>
        </w:tc>
        <w:tc>
          <w:tcPr>
            <w:tcW w:w="1134" w:type="dxa"/>
            <w:vAlign w:val="center"/>
          </w:tcPr>
          <w:p>
            <w:pPr>
              <w:pStyle w:val="11"/>
            </w:pPr>
            <w:r>
              <w:t>195.56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195.56</w:t>
            </w:r>
          </w:p>
        </w:tc>
        <w:tc>
          <w:tcPr>
            <w:tcW w:w="1134" w:type="dxa"/>
            <w:vAlign w:val="center"/>
          </w:tcPr>
          <w:p>
            <w:pPr>
              <w:pStyle w:val="11"/>
            </w:pPr>
            <w:r>
              <w:t>195.56</w:t>
            </w:r>
          </w:p>
        </w:tc>
        <w:tc>
          <w:tcPr>
            <w:tcW w:w="1134" w:type="dxa"/>
            <w:vAlign w:val="center"/>
          </w:tcPr>
          <w:p>
            <w:pPr>
              <w:pStyle w:val="11"/>
            </w:pPr>
            <w:r>
              <w:t>195.56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179.56</w:t>
            </w:r>
          </w:p>
        </w:tc>
        <w:tc>
          <w:tcPr>
            <w:tcW w:w="1134" w:type="dxa"/>
            <w:vAlign w:val="center"/>
          </w:tcPr>
          <w:p>
            <w:pPr>
              <w:pStyle w:val="11"/>
            </w:pPr>
            <w:r>
              <w:t>179.56</w:t>
            </w:r>
          </w:p>
        </w:tc>
        <w:tc>
          <w:tcPr>
            <w:tcW w:w="1134" w:type="dxa"/>
            <w:vAlign w:val="center"/>
          </w:tcPr>
          <w:p>
            <w:pPr>
              <w:pStyle w:val="11"/>
            </w:pPr>
            <w:r>
              <w:t>179.56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211.25</w:t>
            </w:r>
          </w:p>
        </w:tc>
        <w:tc>
          <w:tcPr>
            <w:tcW w:w="1361" w:type="dxa"/>
            <w:vAlign w:val="center"/>
          </w:tcPr>
          <w:p>
            <w:pPr>
              <w:pStyle w:val="15"/>
            </w:pPr>
            <w:r>
              <w:t>195.25</w:t>
            </w:r>
          </w:p>
        </w:tc>
        <w:tc>
          <w:tcPr>
            <w:tcW w:w="1361" w:type="dxa"/>
            <w:vAlign w:val="center"/>
          </w:tcPr>
          <w:p>
            <w:pPr>
              <w:pStyle w:val="15"/>
            </w:pPr>
            <w:r>
              <w:t>16.00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195.56</w:t>
            </w:r>
          </w:p>
        </w:tc>
        <w:tc>
          <w:tcPr>
            <w:tcW w:w="1361" w:type="dxa"/>
            <w:vAlign w:val="center"/>
          </w:tcPr>
          <w:p>
            <w:pPr>
              <w:pStyle w:val="11"/>
            </w:pPr>
            <w:r>
              <w:t>179.56</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195.56</w:t>
            </w:r>
          </w:p>
        </w:tc>
        <w:tc>
          <w:tcPr>
            <w:tcW w:w="1361" w:type="dxa"/>
            <w:vAlign w:val="center"/>
          </w:tcPr>
          <w:p>
            <w:pPr>
              <w:pStyle w:val="11"/>
            </w:pPr>
            <w:r>
              <w:t>179.56</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179.56</w:t>
            </w:r>
          </w:p>
        </w:tc>
        <w:tc>
          <w:tcPr>
            <w:tcW w:w="1361" w:type="dxa"/>
            <w:vAlign w:val="center"/>
          </w:tcPr>
          <w:p>
            <w:pPr>
              <w:pStyle w:val="11"/>
            </w:pPr>
            <w:r>
              <w:t>179.56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15.69</w:t>
            </w:r>
          </w:p>
        </w:tc>
        <w:tc>
          <w:tcPr>
            <w:tcW w:w="1361" w:type="dxa"/>
            <w:vAlign w:val="center"/>
          </w:tcPr>
          <w:p>
            <w:pPr>
              <w:pStyle w:val="11"/>
            </w:pPr>
            <w:r>
              <w:t>15.69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15.69</w:t>
            </w:r>
          </w:p>
        </w:tc>
        <w:tc>
          <w:tcPr>
            <w:tcW w:w="1361" w:type="dxa"/>
            <w:vAlign w:val="center"/>
          </w:tcPr>
          <w:p>
            <w:pPr>
              <w:pStyle w:val="11"/>
            </w:pPr>
            <w:r>
              <w:t>15.69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15.69</w:t>
            </w:r>
          </w:p>
        </w:tc>
        <w:tc>
          <w:tcPr>
            <w:tcW w:w="1361" w:type="dxa"/>
            <w:vAlign w:val="center"/>
          </w:tcPr>
          <w:p>
            <w:pPr>
              <w:pStyle w:val="11"/>
            </w:pPr>
            <w:r>
              <w:t>15.69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211.25</w:t>
            </w:r>
          </w:p>
        </w:tc>
        <w:tc>
          <w:tcPr>
            <w:tcW w:w="3402" w:type="dxa"/>
            <w:vAlign w:val="center"/>
          </w:tcPr>
          <w:p>
            <w:pPr>
              <w:pStyle w:val="12"/>
            </w:pPr>
            <w:r>
              <w:t>一、一般公共服务支出</w:t>
            </w:r>
          </w:p>
        </w:tc>
        <w:tc>
          <w:tcPr>
            <w:tcW w:w="1474" w:type="dxa"/>
            <w:vAlign w:val="center"/>
          </w:tcPr>
          <w:p>
            <w:pPr>
              <w:pStyle w:val="11"/>
            </w:pPr>
            <w:r>
              <w:t>195.56</w:t>
            </w:r>
          </w:p>
        </w:tc>
        <w:tc>
          <w:tcPr>
            <w:tcW w:w="1474" w:type="dxa"/>
            <w:vAlign w:val="center"/>
          </w:tcPr>
          <w:p>
            <w:pPr>
              <w:pStyle w:val="11"/>
            </w:pPr>
            <w:r>
              <w:t>195.56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15.69</w:t>
            </w:r>
          </w:p>
        </w:tc>
        <w:tc>
          <w:tcPr>
            <w:tcW w:w="1474" w:type="dxa"/>
            <w:vAlign w:val="center"/>
          </w:tcPr>
          <w:p>
            <w:pPr>
              <w:pStyle w:val="11"/>
            </w:pPr>
            <w:r>
              <w:t>15.69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211.25</w:t>
            </w:r>
          </w:p>
        </w:tc>
        <w:tc>
          <w:tcPr>
            <w:tcW w:w="3402" w:type="dxa"/>
            <w:vAlign w:val="center"/>
          </w:tcPr>
          <w:p>
            <w:pPr>
              <w:pStyle w:val="14"/>
            </w:pPr>
            <w:r>
              <w:t>本年支出合计</w:t>
            </w:r>
          </w:p>
        </w:tc>
        <w:tc>
          <w:tcPr>
            <w:tcW w:w="1474" w:type="dxa"/>
            <w:vAlign w:val="center"/>
          </w:tcPr>
          <w:p>
            <w:pPr>
              <w:pStyle w:val="15"/>
            </w:pPr>
            <w:r>
              <w:t>211.25</w:t>
            </w:r>
          </w:p>
        </w:tc>
        <w:tc>
          <w:tcPr>
            <w:tcW w:w="1474" w:type="dxa"/>
            <w:vAlign w:val="center"/>
          </w:tcPr>
          <w:p>
            <w:pPr>
              <w:pStyle w:val="15"/>
            </w:pPr>
            <w:r>
              <w:t>211.25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211.25</w:t>
            </w:r>
          </w:p>
        </w:tc>
        <w:tc>
          <w:tcPr>
            <w:tcW w:w="3402" w:type="dxa"/>
            <w:vAlign w:val="center"/>
          </w:tcPr>
          <w:p>
            <w:pPr>
              <w:pStyle w:val="14"/>
            </w:pPr>
            <w:r>
              <w:t>支出总计</w:t>
            </w:r>
          </w:p>
        </w:tc>
        <w:tc>
          <w:tcPr>
            <w:tcW w:w="1474" w:type="dxa"/>
            <w:vAlign w:val="center"/>
          </w:tcPr>
          <w:p>
            <w:pPr>
              <w:pStyle w:val="15"/>
            </w:pPr>
            <w:r>
              <w:t>211.25</w:t>
            </w:r>
          </w:p>
        </w:tc>
        <w:tc>
          <w:tcPr>
            <w:tcW w:w="1474" w:type="dxa"/>
            <w:vAlign w:val="center"/>
          </w:tcPr>
          <w:p>
            <w:pPr>
              <w:pStyle w:val="15"/>
            </w:pPr>
            <w:r>
              <w:t>211.25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211.25</w:t>
            </w:r>
          </w:p>
        </w:tc>
        <w:tc>
          <w:tcPr>
            <w:tcW w:w="2551" w:type="dxa"/>
            <w:vAlign w:val="center"/>
          </w:tcPr>
          <w:p>
            <w:pPr>
              <w:pStyle w:val="15"/>
            </w:pPr>
            <w:r>
              <w:t>195.25</w:t>
            </w:r>
          </w:p>
        </w:tc>
        <w:tc>
          <w:tcPr>
            <w:tcW w:w="2551" w:type="dxa"/>
            <w:vAlign w:val="center"/>
          </w:tcPr>
          <w:p>
            <w:pPr>
              <w:pStyle w:val="15"/>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195.56</w:t>
            </w:r>
          </w:p>
        </w:tc>
        <w:tc>
          <w:tcPr>
            <w:tcW w:w="2551" w:type="dxa"/>
            <w:vAlign w:val="center"/>
          </w:tcPr>
          <w:p>
            <w:pPr>
              <w:pStyle w:val="11"/>
            </w:pPr>
            <w:r>
              <w:t>179.56</w:t>
            </w: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195.56</w:t>
            </w:r>
          </w:p>
        </w:tc>
        <w:tc>
          <w:tcPr>
            <w:tcW w:w="2551" w:type="dxa"/>
            <w:vAlign w:val="center"/>
          </w:tcPr>
          <w:p>
            <w:pPr>
              <w:pStyle w:val="11"/>
            </w:pPr>
            <w:r>
              <w:t>179.56</w:t>
            </w: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179.56</w:t>
            </w:r>
          </w:p>
        </w:tc>
        <w:tc>
          <w:tcPr>
            <w:tcW w:w="2551" w:type="dxa"/>
            <w:vAlign w:val="center"/>
          </w:tcPr>
          <w:p>
            <w:pPr>
              <w:pStyle w:val="11"/>
            </w:pPr>
            <w:r>
              <w:t>179.56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15.69</w:t>
            </w:r>
          </w:p>
        </w:tc>
        <w:tc>
          <w:tcPr>
            <w:tcW w:w="2551" w:type="dxa"/>
            <w:vAlign w:val="center"/>
          </w:tcPr>
          <w:p>
            <w:pPr>
              <w:pStyle w:val="11"/>
            </w:pPr>
            <w:r>
              <w:t>15.69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15.69</w:t>
            </w:r>
          </w:p>
        </w:tc>
        <w:tc>
          <w:tcPr>
            <w:tcW w:w="2551" w:type="dxa"/>
            <w:vAlign w:val="center"/>
          </w:tcPr>
          <w:p>
            <w:pPr>
              <w:pStyle w:val="11"/>
            </w:pPr>
            <w:r>
              <w:t>15.69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15.69</w:t>
            </w:r>
          </w:p>
        </w:tc>
        <w:tc>
          <w:tcPr>
            <w:tcW w:w="2551" w:type="dxa"/>
            <w:vAlign w:val="center"/>
          </w:tcPr>
          <w:p>
            <w:pPr>
              <w:pStyle w:val="11"/>
            </w:pPr>
            <w:r>
              <w:t>15.69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195.25</w:t>
            </w:r>
          </w:p>
        </w:tc>
        <w:tc>
          <w:tcPr>
            <w:tcW w:w="2551" w:type="dxa"/>
            <w:vAlign w:val="center"/>
          </w:tcPr>
          <w:p>
            <w:pPr>
              <w:pStyle w:val="15"/>
            </w:pPr>
            <w:r>
              <w:t>192.63</w:t>
            </w:r>
          </w:p>
        </w:tc>
        <w:tc>
          <w:tcPr>
            <w:tcW w:w="2551" w:type="dxa"/>
            <w:vAlign w:val="center"/>
          </w:tcPr>
          <w:p>
            <w:pPr>
              <w:pStyle w:val="15"/>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192.63</w:t>
            </w:r>
          </w:p>
        </w:tc>
        <w:tc>
          <w:tcPr>
            <w:tcW w:w="2551" w:type="dxa"/>
            <w:vAlign w:val="center"/>
          </w:tcPr>
          <w:p>
            <w:pPr>
              <w:pStyle w:val="11"/>
            </w:pPr>
            <w:r>
              <w:t>192.63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32.92</w:t>
            </w:r>
          </w:p>
        </w:tc>
        <w:tc>
          <w:tcPr>
            <w:tcW w:w="2551" w:type="dxa"/>
            <w:vAlign w:val="center"/>
          </w:tcPr>
          <w:p>
            <w:pPr>
              <w:pStyle w:val="11"/>
            </w:pPr>
            <w:r>
              <w:t>32.92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36.69</w:t>
            </w:r>
          </w:p>
        </w:tc>
        <w:tc>
          <w:tcPr>
            <w:tcW w:w="2551" w:type="dxa"/>
            <w:vAlign w:val="center"/>
          </w:tcPr>
          <w:p>
            <w:pPr>
              <w:pStyle w:val="11"/>
            </w:pPr>
            <w:r>
              <w:t>36.69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2.77</w:t>
            </w:r>
          </w:p>
        </w:tc>
        <w:tc>
          <w:tcPr>
            <w:tcW w:w="2551" w:type="dxa"/>
            <w:vAlign w:val="center"/>
          </w:tcPr>
          <w:p>
            <w:pPr>
              <w:pStyle w:val="11"/>
            </w:pPr>
            <w:r>
              <w:t>2.77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58.34</w:t>
            </w:r>
          </w:p>
        </w:tc>
        <w:tc>
          <w:tcPr>
            <w:tcW w:w="2551" w:type="dxa"/>
            <w:vAlign w:val="center"/>
          </w:tcPr>
          <w:p>
            <w:pPr>
              <w:pStyle w:val="11"/>
            </w:pPr>
            <w:r>
              <w:t>58.34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19.49</w:t>
            </w:r>
          </w:p>
        </w:tc>
        <w:tc>
          <w:tcPr>
            <w:tcW w:w="2551" w:type="dxa"/>
            <w:vAlign w:val="center"/>
          </w:tcPr>
          <w:p>
            <w:pPr>
              <w:pStyle w:val="11"/>
            </w:pPr>
            <w:r>
              <w:t>19.49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9.75</w:t>
            </w:r>
          </w:p>
        </w:tc>
        <w:tc>
          <w:tcPr>
            <w:tcW w:w="2551" w:type="dxa"/>
            <w:vAlign w:val="center"/>
          </w:tcPr>
          <w:p>
            <w:pPr>
              <w:pStyle w:val="11"/>
            </w:pPr>
            <w:r>
              <w:t>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9.06</w:t>
            </w:r>
          </w:p>
        </w:tc>
        <w:tc>
          <w:tcPr>
            <w:tcW w:w="2551" w:type="dxa"/>
            <w:vAlign w:val="center"/>
          </w:tcPr>
          <w:p>
            <w:pPr>
              <w:pStyle w:val="11"/>
            </w:pPr>
            <w:r>
              <w:t>9.06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7.31</w:t>
            </w:r>
          </w:p>
        </w:tc>
        <w:tc>
          <w:tcPr>
            <w:tcW w:w="2551" w:type="dxa"/>
            <w:vAlign w:val="center"/>
          </w:tcPr>
          <w:p>
            <w:pPr>
              <w:pStyle w:val="11"/>
            </w:pPr>
            <w:r>
              <w:t>7.31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15.69</w:t>
            </w:r>
          </w:p>
        </w:tc>
        <w:tc>
          <w:tcPr>
            <w:tcW w:w="2551" w:type="dxa"/>
            <w:vAlign w:val="center"/>
          </w:tcPr>
          <w:p>
            <w:pPr>
              <w:pStyle w:val="11"/>
            </w:pPr>
            <w:r>
              <w:t>15.69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2.62</w:t>
            </w:r>
          </w:p>
        </w:tc>
        <w:tc>
          <w:tcPr>
            <w:tcW w:w="2551" w:type="dxa"/>
            <w:vAlign w:val="center"/>
          </w:tcPr>
          <w:p>
            <w:pPr>
              <w:pStyle w:val="11"/>
            </w:pPr>
          </w:p>
        </w:tc>
        <w:tc>
          <w:tcPr>
            <w:tcW w:w="2551" w:type="dxa"/>
            <w:vAlign w:val="center"/>
          </w:tcPr>
          <w:p>
            <w:pPr>
              <w:pStyle w:val="11"/>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0.62</w:t>
            </w:r>
          </w:p>
        </w:tc>
        <w:tc>
          <w:tcPr>
            <w:tcW w:w="2551" w:type="dxa"/>
            <w:vAlign w:val="center"/>
          </w:tcPr>
          <w:p>
            <w:pPr>
              <w:pStyle w:val="11"/>
            </w:pPr>
          </w:p>
        </w:tc>
        <w:tc>
          <w:tcPr>
            <w:tcW w:w="2551" w:type="dxa"/>
            <w:vAlign w:val="center"/>
          </w:tcPr>
          <w:p>
            <w:pPr>
              <w:pStyle w:val="11"/>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eastAsia" w:eastAsia="方正书宋_GBK"/>
                <w:lang w:val="en-US" w:eastAsia="zh-CN"/>
              </w:rPr>
            </w:pPr>
            <w:r>
              <w:rPr>
                <w:rFonts w:hint="eastAsia"/>
                <w:lang w:val="en-US" w:eastAsia="zh-CN"/>
              </w:rPr>
              <w:t>0</w:t>
            </w:r>
          </w:p>
        </w:tc>
        <w:tc>
          <w:tcPr>
            <w:tcW w:w="2381" w:type="dxa"/>
            <w:vAlign w:val="center"/>
          </w:tcPr>
          <w:p>
            <w:pPr>
              <w:pStyle w:val="15"/>
              <w:rPr>
                <w:rFonts w:hint="eastAsia" w:eastAsia="方正书宋_GBK"/>
                <w:lang w:val="en-US" w:eastAsia="zh-CN"/>
              </w:rPr>
            </w:pPr>
            <w:r>
              <w:rPr>
                <w:rFonts w:hint="eastAsia"/>
                <w:lang w:val="en-US" w:eastAsia="zh-CN"/>
              </w:rPr>
              <w:t>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中共沧州临港经济技术开发区纪律检查工作委员会本级2026年单位预算信息公开情况说明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按照《中华人民共和国预算法》、《地方预决算公开操作规程》和《关于进一步推进预算公开工作的实施意见》规定，现将中共沧州临港经济技术开发区纪律检查工作委员会本级2026年单位预算公开如下：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方正楷体_GBK" w:hAnsi="方正楷体_GBK" w:eastAsia="方正楷体_GBK" w:cs="方正楷体_GBK"/>
          <w:b/>
          <w:color w:val="000000"/>
          <w:sz w:val="32"/>
        </w:rPr>
        <w:t>单位职责：</w:t>
      </w:r>
      <w:r>
        <w:rPr>
          <w:rFonts w:ascii="Times New Roman" w:hAnsi="Times New Roman" w:eastAsia="方正仿宋_GBK" w:cs="Times New Roman"/>
          <w:color w:val="000000"/>
          <w:sz w:val="28"/>
        </w:rPr>
        <w:t>根据《中共沧州临港经济技术开发区纪律检查工作委员会职能配置、内设机构和人员编制规定》，中共沧州临港经济技术开发区纪律检查工作委员会的主要职责是：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为更好的维护党纪国法尊严，坚决惩处腐败分子，有效遏制腐败现象，根据《沧州临港经济技术开发区纪检监察组工作职责》，制定综合事务管理费用。</w:t>
      </w:r>
    </w:p>
    <w:p>
      <w:pPr>
        <w:spacing w:before="0" w:after="0" w:line="240" w:lineRule="auto"/>
        <w:ind w:firstLine="640"/>
        <w:jc w:val="left"/>
        <w:outlineLvl w:val="9"/>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中共沧州临港经济技术开发区纪律检查工作委员会本级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2"/>
      </w:pPr>
      <w:r>
        <w:t>按照预算管理有关规定，目前我省部门预算的编制实行综合预算管理，即全部收入和支出都反映在预算中。</w:t>
      </w:r>
      <w:r>
        <w:rPr>
          <w:rFonts w:hint="eastAsia"/>
          <w:lang w:eastAsia="zh-CN"/>
        </w:rPr>
        <w:t>中共</w:t>
      </w:r>
      <w:r>
        <w:t>沧州临港经济技术开发区</w:t>
      </w:r>
      <w:r>
        <w:rPr>
          <w:rFonts w:hint="eastAsia"/>
          <w:lang w:eastAsia="zh-CN"/>
        </w:rPr>
        <w:t>纪律检查工作委员会</w:t>
      </w:r>
      <w:r>
        <w:t>机关及所属事业单位的收支包含在部门预算中。</w:t>
      </w:r>
    </w:p>
    <w:p>
      <w:pPr>
        <w:pStyle w:val="18"/>
      </w:pPr>
      <w:r>
        <w:rPr>
          <w:rFonts w:hint="eastAsia"/>
          <w:lang w:val="en-US" w:eastAsia="zh-CN"/>
        </w:rPr>
        <w:t>2026</w:t>
      </w:r>
      <w:r>
        <w:t>年度</w:t>
      </w:r>
      <w:r>
        <w:rPr>
          <w:rFonts w:hint="eastAsia"/>
          <w:lang w:eastAsia="zh-CN"/>
        </w:rPr>
        <w:t>中共</w:t>
      </w:r>
      <w:r>
        <w:t>沧州临港经济技术开发区</w:t>
      </w:r>
      <w:r>
        <w:rPr>
          <w:rFonts w:hint="eastAsia"/>
          <w:lang w:eastAsia="zh-CN"/>
        </w:rPr>
        <w:t>纪律检查工作委员会</w:t>
      </w:r>
      <w:r>
        <w:t>的收支均包含在部门预算中。</w:t>
      </w:r>
    </w:p>
    <w:p>
      <w:pPr>
        <w:pStyle w:val="22"/>
      </w:pPr>
      <w:r>
        <w:t>1、收入说明</w:t>
      </w:r>
    </w:p>
    <w:p>
      <w:pPr>
        <w:pStyle w:val="22"/>
      </w:pPr>
      <w:r>
        <w:t>反映本部门当年全部收入。20</w:t>
      </w:r>
      <w:r>
        <w:rPr>
          <w:rFonts w:hint="eastAsia"/>
          <w:lang w:val="en-US" w:eastAsia="zh-CN"/>
        </w:rPr>
        <w:t>26</w:t>
      </w:r>
      <w:r>
        <w:t>年度</w:t>
      </w:r>
      <w:r>
        <w:rPr>
          <w:rFonts w:hint="eastAsia"/>
          <w:lang w:eastAsia="zh-CN"/>
        </w:rPr>
        <w:t>中共</w:t>
      </w:r>
      <w:r>
        <w:t>沧州临港经济技术开发区</w:t>
      </w:r>
      <w:r>
        <w:rPr>
          <w:rFonts w:hint="eastAsia"/>
          <w:lang w:eastAsia="zh-CN"/>
        </w:rPr>
        <w:t>纪律检查工作委员会</w:t>
      </w:r>
      <w:r>
        <w:t>预算收入</w:t>
      </w:r>
      <w:r>
        <w:rPr>
          <w:rFonts w:hint="eastAsia"/>
          <w:lang w:val="en-US" w:eastAsia="zh-CN"/>
        </w:rPr>
        <w:t>211.25</w:t>
      </w:r>
      <w:r>
        <w:t>万元，其中：一般公共预算财政拨款预算收入</w:t>
      </w:r>
      <w:r>
        <w:rPr>
          <w:rFonts w:hint="eastAsia"/>
          <w:lang w:val="en-US" w:eastAsia="zh-CN"/>
        </w:rPr>
        <w:t>211.25</w:t>
      </w:r>
      <w:r>
        <w:t>万元，基金拨款预算0万元，财政专户核拨预算0万元，其他来源收入预算0万元。</w:t>
      </w:r>
    </w:p>
    <w:p>
      <w:pPr>
        <w:pStyle w:val="22"/>
      </w:pPr>
      <w:r>
        <w:t>2、支出说明</w:t>
      </w:r>
    </w:p>
    <w:p>
      <w:pPr>
        <w:pStyle w:val="22"/>
        <w:rPr>
          <w:rFonts w:hint="default" w:eastAsia="方正仿宋_GBK"/>
          <w:lang w:val="en-US" w:eastAsia="zh-CN"/>
        </w:rPr>
      </w:pPr>
      <w:r>
        <w:t>收支预算总表支出栏、基本支出表、项目支出表按经济分类和支出功能分类科目编制，反映</w:t>
      </w:r>
      <w:r>
        <w:rPr>
          <w:rFonts w:hint="eastAsia"/>
          <w:lang w:eastAsia="zh-CN"/>
        </w:rPr>
        <w:t>中共</w:t>
      </w:r>
      <w:r>
        <w:t>沧州临港经济技术开发区</w:t>
      </w:r>
      <w:r>
        <w:rPr>
          <w:rFonts w:hint="eastAsia"/>
          <w:lang w:eastAsia="zh-CN"/>
        </w:rPr>
        <w:t>纪律检查工作委员会</w:t>
      </w:r>
      <w:r>
        <w:t>202</w:t>
      </w:r>
      <w:r>
        <w:rPr>
          <w:rFonts w:hint="eastAsia"/>
          <w:lang w:val="en-US" w:eastAsia="zh-CN"/>
        </w:rPr>
        <w:t>6</w:t>
      </w:r>
      <w:r>
        <w:t>年度部门预算中支出预算的总体情况。2</w:t>
      </w:r>
      <w:r>
        <w:rPr>
          <w:rFonts w:hint="eastAsia"/>
          <w:lang w:val="en-US" w:eastAsia="zh-CN"/>
        </w:rPr>
        <w:t>026</w:t>
      </w:r>
      <w:r>
        <w:t>年度</w:t>
      </w:r>
      <w:r>
        <w:rPr>
          <w:rFonts w:hint="eastAsia"/>
          <w:lang w:eastAsia="zh-CN"/>
        </w:rPr>
        <w:t>纪工委</w:t>
      </w:r>
      <w:r>
        <w:t>预算支出</w:t>
      </w:r>
      <w:r>
        <w:rPr>
          <w:rFonts w:hint="eastAsia"/>
          <w:lang w:val="en-US" w:eastAsia="zh-CN"/>
        </w:rPr>
        <w:t>211.25</w:t>
      </w:r>
      <w:r>
        <w:t>万元，其中：基本支出拨款预算</w:t>
      </w:r>
      <w:r>
        <w:rPr>
          <w:rFonts w:hint="eastAsia"/>
          <w:lang w:val="en-US" w:eastAsia="zh-CN"/>
        </w:rPr>
        <w:t>211.25</w:t>
      </w:r>
      <w:r>
        <w:t>万元，包含人员支出</w:t>
      </w:r>
      <w:r>
        <w:rPr>
          <w:rFonts w:hint="eastAsia"/>
          <w:lang w:val="en-US" w:eastAsia="zh-CN"/>
        </w:rPr>
        <w:t>195.25</w:t>
      </w:r>
      <w:r>
        <w:t>万元；</w:t>
      </w:r>
      <w:r>
        <w:rPr>
          <w:rFonts w:hint="eastAsia"/>
          <w:lang w:eastAsia="zh-CN"/>
        </w:rPr>
        <w:t>专项</w:t>
      </w:r>
      <w:r>
        <w:t>支出</w:t>
      </w:r>
      <w:r>
        <w:rPr>
          <w:rFonts w:hint="eastAsia"/>
          <w:lang w:val="en-US" w:eastAsia="zh-CN"/>
        </w:rPr>
        <w:t>16</w:t>
      </w:r>
      <w:r>
        <w:t>万元。</w:t>
      </w:r>
      <w:r>
        <w:rPr>
          <w:rFonts w:hint="eastAsia"/>
          <w:lang w:eastAsia="zh-CN"/>
        </w:rPr>
        <w:t>委托业务费共计安排</w:t>
      </w:r>
      <w:r>
        <w:rPr>
          <w:rFonts w:hint="eastAsia"/>
          <w:lang w:val="en-US" w:eastAsia="zh-CN"/>
        </w:rPr>
        <w:t>0万元，不涉及。</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numPr>
          <w:ilvl w:val="0"/>
          <w:numId w:val="0"/>
        </w:numPr>
        <w:spacing w:before="10" w:after="10" w:line="360" w:lineRule="auto"/>
        <w:ind w:firstLine="480" w:firstLineChars="200"/>
        <w:jc w:val="left"/>
        <w:outlineLvl w:val="2"/>
      </w:pPr>
      <w:r>
        <w:rPr>
          <w:rFonts w:hint="eastAsia"/>
          <w:lang w:eastAsia="zh-CN"/>
        </w:rPr>
        <w:t>中共</w:t>
      </w:r>
      <w:r>
        <w:rPr>
          <w:rFonts w:hint="eastAsia" w:ascii="Times New Roman" w:hAnsi="Times New Roman" w:eastAsia="方正仿宋_GBK" w:cs="Times New Roman"/>
          <w:sz w:val="28"/>
          <w:szCs w:val="24"/>
          <w:lang w:val="en-US" w:eastAsia="zh-CN" w:bidi="ar-SA"/>
        </w:rPr>
        <w:t>沧州临港经济技术开发区纪律检查工作委员</w:t>
      </w:r>
      <w:r>
        <w:rPr>
          <w:rFonts w:hint="eastAsia" w:eastAsia="方正仿宋_GBK" w:cs="Times New Roman"/>
          <w:sz w:val="28"/>
          <w:szCs w:val="24"/>
          <w:lang w:val="en-US" w:eastAsia="zh-CN" w:bidi="ar-SA"/>
        </w:rPr>
        <w:t>会</w:t>
      </w:r>
      <w:r>
        <w:rPr>
          <w:rFonts w:hint="eastAsia" w:ascii="Times New Roman" w:hAnsi="Times New Roman" w:eastAsia="方正仿宋_GBK" w:cs="Times New Roman"/>
          <w:sz w:val="28"/>
          <w:szCs w:val="24"/>
          <w:lang w:val="en-US" w:eastAsia="zh-CN" w:bidi="ar-SA"/>
        </w:rPr>
        <w:t>机关运行经费共计安排4.12万元，主要是一般公共预算财政拨款基本支出的日常公用经费，包括办公费、邮电费、差旅费、工会经费等。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numPr>
          <w:ilvl w:val="0"/>
          <w:numId w:val="0"/>
        </w:numPr>
        <w:spacing w:before="10" w:after="10" w:line="360" w:lineRule="auto"/>
        <w:ind w:firstLine="480" w:firstLineChars="200"/>
        <w:jc w:val="left"/>
        <w:outlineLvl w:val="2"/>
        <w:rPr>
          <w:rFonts w:ascii="黑体" w:hAnsi="黑体" w:eastAsia="黑体" w:cs="黑体"/>
          <w:color w:val="000000"/>
          <w:sz w:val="32"/>
        </w:rPr>
      </w:pPr>
      <w:r>
        <w:rPr>
          <w:rFonts w:hint="eastAsia"/>
          <w:lang w:eastAsia="zh-CN"/>
        </w:rPr>
        <w:t>中共</w:t>
      </w:r>
      <w:r>
        <w:t>沧州临港经济技术开发区</w:t>
      </w:r>
      <w:r>
        <w:rPr>
          <w:rFonts w:hint="eastAsia"/>
          <w:lang w:eastAsia="zh-CN"/>
        </w:rPr>
        <w:t>纪律检查工作委员会</w:t>
      </w:r>
      <w:r>
        <w:rPr>
          <w:rFonts w:ascii="Times New Roman" w:hAnsi="Times New Roman" w:eastAsia="方正仿宋_GBK" w:cs="Times New Roman"/>
          <w:color w:val="000000"/>
          <w:sz w:val="28"/>
          <w:szCs w:val="24"/>
          <w:lang w:val="en-US" w:eastAsia="uk-UA" w:bidi="ar-SA"/>
        </w:rPr>
        <w:t>202</w:t>
      </w:r>
      <w:r>
        <w:rPr>
          <w:rFonts w:hint="eastAsia" w:eastAsia="方正仿宋_GBK" w:cs="Times New Roman"/>
          <w:color w:val="000000"/>
          <w:sz w:val="28"/>
          <w:szCs w:val="24"/>
          <w:lang w:val="en-US" w:eastAsia="zh-CN" w:bidi="ar-SA"/>
        </w:rPr>
        <w:t>6</w:t>
      </w:r>
      <w:r>
        <w:rPr>
          <w:rFonts w:ascii="Times New Roman" w:hAnsi="Times New Roman" w:eastAsia="方正仿宋_GBK" w:cs="Times New Roman"/>
          <w:color w:val="000000"/>
          <w:sz w:val="28"/>
          <w:szCs w:val="24"/>
          <w:lang w:val="en-US" w:eastAsia="uk-UA" w:bidi="ar-SA"/>
        </w:rPr>
        <w:t>年度共安排“三公”经费</w:t>
      </w:r>
      <w:r>
        <w:rPr>
          <w:rFonts w:hint="eastAsia" w:cs="Times New Roman"/>
          <w:color w:val="000000"/>
          <w:sz w:val="28"/>
          <w:szCs w:val="24"/>
          <w:lang w:val="en-US" w:eastAsia="zh-CN" w:bidi="ar-SA"/>
        </w:rPr>
        <w:t>0</w:t>
      </w:r>
      <w:r>
        <w:rPr>
          <w:rFonts w:ascii="Times New Roman" w:hAnsi="Times New Roman" w:eastAsia="方正仿宋_GBK" w:cs="Times New Roman"/>
          <w:color w:val="000000"/>
          <w:sz w:val="28"/>
          <w:szCs w:val="24"/>
          <w:lang w:val="en-US" w:eastAsia="uk-UA" w:bidi="ar-SA"/>
        </w:rPr>
        <w:t>万元</w:t>
      </w:r>
      <w:r>
        <w:rPr>
          <w:rFonts w:hint="eastAsia" w:ascii="Times New Roman" w:hAnsi="Times New Roman" w:eastAsia="方正仿宋_GBK" w:cs="Times New Roman"/>
          <w:color w:val="000000"/>
          <w:sz w:val="28"/>
          <w:szCs w:val="24"/>
          <w:lang w:val="en-US" w:eastAsia="zh-CN" w:bidi="ar-SA"/>
        </w:rPr>
        <w:t>，其中因公出国（境）0.00万元；公务用车购置及运维费0.00万元；公务接待费0.</w:t>
      </w:r>
      <w:r>
        <w:rPr>
          <w:rFonts w:hint="eastAsia" w:cs="Times New Roman"/>
          <w:color w:val="000000"/>
          <w:sz w:val="28"/>
          <w:szCs w:val="24"/>
          <w:lang w:val="en-US" w:eastAsia="zh-CN" w:bidi="ar-SA"/>
        </w:rPr>
        <w:t>00</w:t>
      </w:r>
      <w:r>
        <w:rPr>
          <w:rFonts w:hint="eastAsia" w:ascii="Times New Roman" w:hAnsi="Times New Roman" w:eastAsia="方正仿宋_GBK" w:cs="Times New Roman"/>
          <w:color w:val="000000"/>
          <w:sz w:val="28"/>
          <w:szCs w:val="24"/>
          <w:lang w:val="en-US" w:eastAsia="zh-CN" w:bidi="ar-SA"/>
        </w:rPr>
        <w:t>万元；会议费0.</w:t>
      </w:r>
      <w:r>
        <w:rPr>
          <w:rFonts w:hint="eastAsia" w:cs="Times New Roman"/>
          <w:color w:val="000000"/>
          <w:sz w:val="28"/>
          <w:szCs w:val="24"/>
          <w:lang w:val="en-US" w:eastAsia="zh-CN" w:bidi="ar-SA"/>
        </w:rPr>
        <w:t>00</w:t>
      </w:r>
      <w:r>
        <w:rPr>
          <w:rFonts w:hint="eastAsia" w:ascii="Times New Roman" w:hAnsi="Times New Roman" w:eastAsia="方正仿宋_GBK" w:cs="Times New Roman"/>
          <w:color w:val="000000"/>
          <w:sz w:val="28"/>
          <w:szCs w:val="24"/>
          <w:lang w:val="en-US" w:eastAsia="zh-CN" w:bidi="ar-SA"/>
        </w:rPr>
        <w:t>万元。较202</w:t>
      </w:r>
      <w:r>
        <w:rPr>
          <w:rFonts w:hint="eastAsia" w:eastAsia="方正仿宋_GBK" w:cs="Times New Roman"/>
          <w:color w:val="000000"/>
          <w:sz w:val="28"/>
          <w:szCs w:val="24"/>
          <w:lang w:val="en-US" w:eastAsia="zh-CN" w:bidi="ar-SA"/>
        </w:rPr>
        <w:t>5</w:t>
      </w:r>
      <w:r>
        <w:rPr>
          <w:rFonts w:hint="eastAsia" w:ascii="Times New Roman" w:hAnsi="Times New Roman" w:eastAsia="方正仿宋_GBK" w:cs="Times New Roman"/>
          <w:color w:val="000000"/>
          <w:sz w:val="28"/>
          <w:szCs w:val="24"/>
          <w:lang w:val="en-US" w:eastAsia="zh-CN" w:bidi="ar-SA"/>
        </w:rPr>
        <w:t>年度预算</w:t>
      </w:r>
      <w:r>
        <w:rPr>
          <w:rFonts w:hint="eastAsia" w:cs="Times New Roman"/>
          <w:color w:val="000000"/>
          <w:sz w:val="28"/>
          <w:szCs w:val="24"/>
          <w:lang w:val="en-US" w:eastAsia="zh-CN" w:bidi="ar-SA"/>
        </w:rPr>
        <w:t>减少0万元。</w:t>
      </w:r>
    </w:p>
    <w:p>
      <w:pPr>
        <w:spacing w:before="10" w:after="10" w:line="360" w:lineRule="auto"/>
        <w:ind w:firstLine="640"/>
        <w:jc w:val="left"/>
        <w:outlineLvl w:val="2"/>
      </w:pPr>
      <w:bookmarkStart w:id="0" w:name="_Toc_3_3_0000000014"/>
      <w:r>
        <w:rPr>
          <w:rFonts w:ascii="黑体" w:hAnsi="黑体" w:eastAsia="黑体" w:cs="黑体"/>
          <w:color w:val="000000"/>
          <w:sz w:val="32"/>
        </w:rPr>
        <w:t>五、部门整体绩效目标</w:t>
      </w:r>
      <w:bookmarkEnd w:id="0"/>
    </w:p>
    <w:p>
      <w:pPr>
        <w:pStyle w:val="23"/>
      </w:pPr>
      <w:r>
        <w:t>2026年中共沧州临港经济技术开发区纪律检查工作委员会深入贯彻落实党的十九大精神，认真学习习近平</w:t>
      </w:r>
      <w:bookmarkStart w:id="2" w:name="_GoBack"/>
      <w:bookmarkEnd w:id="2"/>
      <w:r>
        <w:t>新时代中国特色社会主义思想，全面强化监督执纪问责职能；狠抓“两个责任”落实，聚焦纪工委监督责任，强化监督执纪问责；深入学习宣传、贯彻落实（准则）和《条例》，引导广大党员干部逐条学习、牢记各项廉洁自律要求和党的纪律底线；紧盯“四风“持续加强作风建设，严格落实中央八项规定精神防止“四风“反弹，对顶风违纪行为露头就打，从严从重查处，严肃问责追究；坚持把纪律和规矩挺在前面，加大执纪和惩治腐败力度，综合运用廉政谈心，教育提醒、警示谈话、纪律诫勉、通报批评、组织处理等多种处理方式；加强纪检监察干部队伍自身建设，严格执行《内部监督管理工作办法》，加强纪检监察干部的日常教育管理，强化自身监督，防止“灯下黑”、坚持集中培训加强纪检监察业务培训和实践锻炼，提高执纪监督能力。</w:t>
      </w:r>
    </w:p>
    <w:p>
      <w:pPr>
        <w:pStyle w:val="24"/>
        <w:numPr>
          <w:ilvl w:val="0"/>
          <w:numId w:val="0"/>
        </w:numPr>
        <w:ind w:left="640" w:leftChars="0"/>
        <w:rPr>
          <w:rFonts w:ascii="黑体" w:hAnsi="黑体" w:eastAsia="黑体" w:cs="黑体"/>
          <w:color w:val="000000"/>
          <w:sz w:val="32"/>
        </w:rPr>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p>
    <w:p>
      <w:pPr>
        <w:pStyle w:val="24"/>
        <w:numPr>
          <w:ilvl w:val="0"/>
          <w:numId w:val="0"/>
        </w:numPr>
        <w:ind w:left="640" w:leftChars="0"/>
      </w:pPr>
      <w:r>
        <w:t>（一）</w:t>
      </w:r>
    </w:p>
    <w:p>
      <w:pPr>
        <w:pStyle w:val="24"/>
      </w:pPr>
      <w:r>
        <w:t>绩效目标：保障全组综合办公环境高效运行。</w:t>
      </w:r>
    </w:p>
    <w:p>
      <w:pPr>
        <w:pStyle w:val="24"/>
      </w:pPr>
      <w:r>
        <w:t>绩效指标：保障全组综合办公环境高效运行。</w:t>
      </w:r>
    </w:p>
    <w:p>
      <w:pPr>
        <w:spacing w:before="0" w:after="0" w:line="500" w:lineRule="exact"/>
        <w:ind w:firstLine="560"/>
        <w:jc w:val="left"/>
        <w:outlineLvl w:val="9"/>
      </w:pPr>
      <w:r>
        <w:rPr>
          <w:rFonts w:ascii="Times New Roman" w:hAnsi="Times New Roman" w:eastAsia="方正仿宋_GBK" w:cs="Times New Roman"/>
          <w:color w:val="000000"/>
          <w:sz w:val="28"/>
        </w:rPr>
        <w:t>（</w:t>
      </w:r>
      <w:r>
        <w:rPr>
          <w:rFonts w:hint="eastAsia" w:eastAsia="方正仿宋_GBK" w:cs="Times New Roman"/>
          <w:color w:val="000000"/>
          <w:sz w:val="28"/>
          <w:lang w:val="en-US" w:eastAsia="zh-CN"/>
        </w:rPr>
        <w:t>二</w:t>
      </w:r>
      <w:r>
        <w:rPr>
          <w:rFonts w:ascii="Times New Roman" w:hAnsi="Times New Roman" w:eastAsia="方正仿宋_GBK" w:cs="Times New Roman"/>
          <w:color w:val="000000"/>
          <w:sz w:val="28"/>
        </w:rPr>
        <w:t>）工作保障措施</w:t>
      </w:r>
    </w:p>
    <w:p>
      <w:pPr>
        <w:pStyle w:val="25"/>
      </w:pPr>
      <w:r>
        <w:t>1、纪检监察办案方面：受理信访、举报，集中管理问题线索、组织协调案件查办，调查、审查违纪违法案件，对案件审理提出处理意见。对有关对象违反党纪政纪和违纪违法行为进行处理；组织协调案件查办工作;</w:t>
      </w:r>
    </w:p>
    <w:p>
      <w:pPr>
        <w:pStyle w:val="25"/>
      </w:pPr>
      <w:r>
        <w:t>2、党风政风监督检查方面：监督检查党内法规政策、国家法律法规、党风廉政建设等的执行情况；贯彻落实党工委有关部署，开展常态化全覆盖监督。贯彻落实党工委有关部署，开展常态化全覆盖监督有关工作；做好有关服务保障工作。</w:t>
      </w:r>
    </w:p>
    <w:p>
      <w:pPr>
        <w:pStyle w:val="25"/>
      </w:pPr>
      <w:r>
        <w:t>3、纪检监察信息化建设方面：组织开展信息化建设、教育培训、审计理论研究，抓好新闻宣传和文化建设、政务信息公开，开展审计服务和业务咨询；抓好干部队伍建设、基础设施建设及其它综合事务。</w:t>
      </w:r>
    </w:p>
    <w:p>
      <w:pPr>
        <w:pStyle w:val="25"/>
        <w:sectPr>
          <w:pgSz w:w="16840" w:h="11900" w:orient="landscape"/>
          <w:pgMar w:top="1361" w:right="1020" w:bottom="1361" w:left="1020" w:header="720" w:footer="720" w:gutter="0"/>
          <w:cols w:space="720" w:num="1"/>
        </w:sectPr>
      </w:pPr>
      <w:r>
        <w:t>4、干部廉政教育方面：宣传党的纪检工作方针、政策，教育纪检干部遵守和执行党章以及党内法规、党的路线方针政策和决议、国家法规等，全面提高纪检监察干部队伍素质；负责办公场所运行维护。</w:t>
      </w:r>
    </w:p>
    <w:p>
      <w:pPr>
        <w:pStyle w:val="20"/>
      </w:pPr>
      <w:bookmarkStart w:id="1" w:name="_Toc_3_3_0000000016"/>
      <w:r>
        <w:rPr>
          <w:rFonts w:ascii="黑体" w:hAnsi="黑体" w:eastAsia="黑体" w:cs="黑体"/>
          <w:color w:val="000000"/>
          <w:sz w:val="32"/>
        </w:rPr>
        <w:t>七、部门项目预算安排情况及绩效目标</w:t>
      </w:r>
      <w:bookmarkEnd w:id="1"/>
    </w:p>
    <w:p>
      <w:pPr>
        <w:spacing w:before="0" w:after="0"/>
        <w:ind w:firstLine="560"/>
        <w:jc w:val="left"/>
        <w:outlineLvl w:val="9"/>
      </w:pPr>
      <w:r>
        <w:rPr>
          <w:rFonts w:ascii="方正仿宋_GBK" w:hAnsi="方正仿宋_GBK" w:eastAsia="方正仿宋_GBK" w:cs="方正仿宋_GBK"/>
          <w:b/>
          <w:color w:val="000000"/>
          <w:sz w:val="28"/>
        </w:rPr>
        <w:t>1、综合事务管理绩效目标表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13091626P000003100029</w:t>
            </w:r>
          </w:p>
        </w:tc>
        <w:tc>
          <w:tcPr>
            <w:tcW w:w="2835" w:type="dxa"/>
            <w:vAlign w:val="center"/>
          </w:tcPr>
          <w:p>
            <w:pPr>
              <w:pStyle w:val="10"/>
            </w:pPr>
            <w:r>
              <w:t>项目名称</w:t>
            </w:r>
          </w:p>
        </w:tc>
        <w:tc>
          <w:tcPr>
            <w:tcW w:w="6095" w:type="dxa"/>
            <w:gridSpan w:val="3"/>
            <w:vAlign w:val="center"/>
          </w:tcPr>
          <w:p>
            <w:pPr>
              <w:pStyle w:val="12"/>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保障纪检工作顺利运行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1.依据上级领导安排，稳定运行综合事务管理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综合事务完成率</w:t>
            </w:r>
          </w:p>
        </w:tc>
        <w:tc>
          <w:tcPr>
            <w:tcW w:w="5386" w:type="dxa"/>
            <w:vAlign w:val="center"/>
          </w:tcPr>
          <w:p>
            <w:pPr>
              <w:pStyle w:val="12"/>
            </w:pPr>
            <w:r>
              <w:t>综合事务完成率</w:t>
            </w:r>
          </w:p>
        </w:tc>
        <w:tc>
          <w:tcPr>
            <w:tcW w:w="2268" w:type="dxa"/>
            <w:vAlign w:val="center"/>
          </w:tcPr>
          <w:p>
            <w:pPr>
              <w:pStyle w:val="12"/>
            </w:pPr>
            <w:r>
              <w:t>≤100百分比</w:t>
            </w:r>
          </w:p>
        </w:tc>
        <w:tc>
          <w:tcPr>
            <w:tcW w:w="1276" w:type="dxa"/>
            <w:vAlign w:val="center"/>
          </w:tcPr>
          <w:p>
            <w:pPr>
              <w:pStyle w:val="12"/>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综合事务工作完成率</w:t>
            </w:r>
          </w:p>
        </w:tc>
        <w:tc>
          <w:tcPr>
            <w:tcW w:w="5386" w:type="dxa"/>
            <w:vAlign w:val="center"/>
          </w:tcPr>
          <w:p>
            <w:pPr>
              <w:pStyle w:val="12"/>
            </w:pPr>
            <w:r>
              <w:t>综合事务工作完成率</w:t>
            </w:r>
          </w:p>
        </w:tc>
        <w:tc>
          <w:tcPr>
            <w:tcW w:w="2268" w:type="dxa"/>
            <w:vAlign w:val="center"/>
          </w:tcPr>
          <w:p>
            <w:pPr>
              <w:pStyle w:val="12"/>
            </w:pPr>
            <w:r>
              <w:t>≤100百分比</w:t>
            </w:r>
          </w:p>
        </w:tc>
        <w:tc>
          <w:tcPr>
            <w:tcW w:w="1276" w:type="dxa"/>
            <w:vAlign w:val="center"/>
          </w:tcPr>
          <w:p>
            <w:pPr>
              <w:pStyle w:val="12"/>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综合事务完成及时率</w:t>
            </w:r>
          </w:p>
        </w:tc>
        <w:tc>
          <w:tcPr>
            <w:tcW w:w="5386" w:type="dxa"/>
            <w:vAlign w:val="center"/>
          </w:tcPr>
          <w:p>
            <w:pPr>
              <w:pStyle w:val="12"/>
            </w:pPr>
            <w:r>
              <w:t>综合事务完成及时率</w:t>
            </w:r>
          </w:p>
        </w:tc>
        <w:tc>
          <w:tcPr>
            <w:tcW w:w="2268" w:type="dxa"/>
            <w:vAlign w:val="center"/>
          </w:tcPr>
          <w:p>
            <w:pPr>
              <w:pStyle w:val="12"/>
            </w:pPr>
            <w:r>
              <w:t>≤100百分比</w:t>
            </w:r>
          </w:p>
        </w:tc>
        <w:tc>
          <w:tcPr>
            <w:tcW w:w="1276" w:type="dxa"/>
            <w:vAlign w:val="center"/>
          </w:tcPr>
          <w:p>
            <w:pPr>
              <w:pStyle w:val="12"/>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综合事务工作成本</w:t>
            </w:r>
          </w:p>
        </w:tc>
        <w:tc>
          <w:tcPr>
            <w:tcW w:w="5386" w:type="dxa"/>
            <w:vAlign w:val="center"/>
          </w:tcPr>
          <w:p>
            <w:pPr>
              <w:pStyle w:val="12"/>
            </w:pPr>
            <w:r>
              <w:t>综合事务工作成本</w:t>
            </w:r>
          </w:p>
        </w:tc>
        <w:tc>
          <w:tcPr>
            <w:tcW w:w="2268" w:type="dxa"/>
            <w:vAlign w:val="center"/>
          </w:tcPr>
          <w:p>
            <w:pPr>
              <w:pStyle w:val="12"/>
            </w:pPr>
            <w:r>
              <w:t>≤100百分比</w:t>
            </w:r>
          </w:p>
        </w:tc>
        <w:tc>
          <w:tcPr>
            <w:tcW w:w="1276" w:type="dxa"/>
            <w:vAlign w:val="center"/>
          </w:tcPr>
          <w:p>
            <w:pPr>
              <w:pStyle w:val="12"/>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综合利用率</w:t>
            </w:r>
          </w:p>
        </w:tc>
        <w:tc>
          <w:tcPr>
            <w:tcW w:w="5386" w:type="dxa"/>
            <w:vAlign w:val="center"/>
          </w:tcPr>
          <w:p>
            <w:pPr>
              <w:pStyle w:val="12"/>
            </w:pPr>
            <w:r>
              <w:t>综合利用率</w:t>
            </w:r>
          </w:p>
        </w:tc>
        <w:tc>
          <w:tcPr>
            <w:tcW w:w="2268" w:type="dxa"/>
            <w:vAlign w:val="center"/>
          </w:tcPr>
          <w:p>
            <w:pPr>
              <w:pStyle w:val="12"/>
            </w:pPr>
            <w:r>
              <w:t>≤100百分比</w:t>
            </w:r>
          </w:p>
        </w:tc>
        <w:tc>
          <w:tcPr>
            <w:tcW w:w="1276" w:type="dxa"/>
            <w:vAlign w:val="center"/>
          </w:tcPr>
          <w:p>
            <w:pPr>
              <w:pStyle w:val="12"/>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持续发展作用率</w:t>
            </w:r>
          </w:p>
        </w:tc>
        <w:tc>
          <w:tcPr>
            <w:tcW w:w="5386" w:type="dxa"/>
            <w:vAlign w:val="center"/>
          </w:tcPr>
          <w:p>
            <w:pPr>
              <w:pStyle w:val="12"/>
            </w:pPr>
            <w:r>
              <w:t>持续发展作用率</w:t>
            </w:r>
          </w:p>
        </w:tc>
        <w:tc>
          <w:tcPr>
            <w:tcW w:w="2268" w:type="dxa"/>
            <w:vAlign w:val="center"/>
          </w:tcPr>
          <w:p>
            <w:pPr>
              <w:pStyle w:val="12"/>
            </w:pPr>
            <w:r>
              <w:t>≤100百分比</w:t>
            </w:r>
          </w:p>
        </w:tc>
        <w:tc>
          <w:tcPr>
            <w:tcW w:w="1276" w:type="dxa"/>
            <w:vAlign w:val="center"/>
          </w:tcPr>
          <w:p>
            <w:pPr>
              <w:pStyle w:val="12"/>
            </w:pPr>
            <w:r>
              <w:t>依据上级领导安排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w:t>
            </w:r>
          </w:p>
        </w:tc>
        <w:tc>
          <w:tcPr>
            <w:tcW w:w="2268" w:type="dxa"/>
            <w:vAlign w:val="center"/>
          </w:tcPr>
          <w:p>
            <w:pPr>
              <w:pStyle w:val="12"/>
            </w:pPr>
            <w:r>
              <w:t>≤100百分比</w:t>
            </w:r>
          </w:p>
        </w:tc>
        <w:tc>
          <w:tcPr>
            <w:tcW w:w="1276" w:type="dxa"/>
            <w:vAlign w:val="center"/>
          </w:tcPr>
          <w:p>
            <w:pPr>
              <w:pStyle w:val="12"/>
            </w:pPr>
            <w:r>
              <w:t>依据上级领导安排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hint="eastAsia" w:ascii="黑体" w:hAnsi="黑体" w:eastAsia="黑体" w:cs="黑体"/>
          <w:color w:val="000000"/>
          <w:sz w:val="32"/>
          <w:lang w:eastAsia="zh-CN"/>
        </w:rPr>
        <w:t>九</w:t>
      </w:r>
      <w:r>
        <w:rPr>
          <w:rFonts w:ascii="黑体" w:hAnsi="黑体" w:eastAsia="黑体" w:cs="黑体"/>
          <w:color w:val="000000"/>
          <w:sz w:val="32"/>
        </w:rPr>
        <w:t>、国有资产信息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中共沧州临港经济技术开发区纪律检查工作委员会本级上年末固定资产金额为</w:t>
      </w:r>
      <w:r>
        <w:rPr>
          <w:rFonts w:hint="eastAsia" w:eastAsia="方正仿宋_GBK" w:cs="Times New Roman"/>
          <w:b w:val="0"/>
          <w:color w:val="000000"/>
          <w:sz w:val="28"/>
          <w:lang w:val="en-US" w:eastAsia="zh-CN"/>
        </w:rPr>
        <w:t>19.97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311001中共沧州临港经济技术开发区纪律检查工作委员会本级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设备</w:t>
            </w:r>
          </w:p>
        </w:tc>
        <w:tc>
          <w:tcPr>
            <w:tcW w:w="2835" w:type="dxa"/>
            <w:shd w:val="clear" w:color="auto" w:fill="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65</w:t>
            </w:r>
          </w:p>
        </w:tc>
        <w:tc>
          <w:tcPr>
            <w:tcW w:w="2835" w:type="dxa"/>
            <w:shd w:val="clear" w:color="auto" w:fill="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家具</w:t>
            </w:r>
          </w:p>
        </w:tc>
        <w:tc>
          <w:tcPr>
            <w:tcW w:w="2835" w:type="dxa"/>
            <w:shd w:val="clear" w:color="auto" w:fill="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2835" w:type="dxa"/>
            <w:shd w:val="clear" w:color="auto" w:fill="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3.68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hint="eastAsia" w:ascii="黑体" w:hAnsi="黑体" w:eastAsia="黑体" w:cs="黑体"/>
          <w:color w:val="000000"/>
          <w:sz w:val="32"/>
          <w:lang w:eastAsia="zh-CN"/>
        </w:rPr>
        <w:t>十</w:t>
      </w:r>
      <w:r>
        <w:rPr>
          <w:rFonts w:ascii="黑体" w:hAnsi="黑体" w:eastAsia="黑体" w:cs="黑体"/>
          <w:color w:val="000000"/>
          <w:sz w:val="32"/>
        </w:rPr>
        <w:t>、名词解释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hint="eastAsia" w:ascii="黑体" w:hAnsi="黑体" w:eastAsia="黑体" w:cs="黑体"/>
          <w:color w:val="000000"/>
          <w:sz w:val="32"/>
          <w:lang w:eastAsia="zh-CN"/>
        </w:rPr>
        <w:t>十一</w:t>
      </w:r>
      <w:r>
        <w:rPr>
          <w:rFonts w:ascii="黑体" w:hAnsi="黑体" w:eastAsia="黑体" w:cs="黑体"/>
          <w:color w:val="000000"/>
          <w:sz w:val="32"/>
        </w:rPr>
        <w:t>、其他需要说明的事项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rsids>
    <w:rsidRoot w:val="00000000"/>
    <w:rsid w:val="26116142"/>
    <w:rsid w:val="43BD633E"/>
    <w:rsid w:val="77FC51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2560</Words>
  <Characters>3355</Characters>
  <TotalTime>0</TotalTime>
  <ScaleCrop>false</ScaleCrop>
  <LinksUpToDate>false</LinksUpToDate>
  <CharactersWithSpaces>3477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2026-03-25T18:12:00Z</dcterms:created>
  <dc:creator>Administrator</dc:creator>
  <cp:lastModifiedBy>czlg</cp:lastModifiedBy>
  <dcterms:modified xsi:type="dcterms:W3CDTF">2026-04-27T09:16:23Z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eyJoZGlkIjoiZTA3OGI4MWM2ZTUyNWI5MjA2ZWI2N2Y1OWUwZjJkMjgiLCJ1c2VySWQiOiIxMzg0NDQxOTcyIn0=</vt:lpwstr>
  </property>
  <property fmtid="{D5CDD505-2E9C-101B-9397-08002B2CF9AE}" pid="3" name="KSOProductBuildVer">
    <vt:lpwstr>2052-11.8.2.10290</vt:lpwstr>
  </property>
  <property fmtid="{D5CDD505-2E9C-101B-9397-08002B2CF9AE}" pid="4" name="ICV">
    <vt:lpwstr>4CF9E7D97BB641A790007AC91B47E1EA_12</vt:lpwstr>
  </property>
</Properties>
</file>