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rPr>
          <w:rFonts w:hint="default"/>
          <w:color w:val="000000" w:themeColor="text1"/>
          <w:lang w:val="en-US" w:eastAsia="zh-CN"/>
        </w:rPr>
      </w:pPr>
      <w:r>
        <w:rPr>
          <w:rFonts w:hint="eastAsia"/>
          <w:color w:val="000000" w:themeColor="text1"/>
          <w:lang w:val="en-US" w:eastAsia="zh-CN"/>
        </w:rPr>
        <w:t xml:space="preserve">             </w:t>
      </w:r>
    </w:p>
    <w:p>
      <w:pPr>
        <w:snapToGrid w:val="0"/>
        <w:spacing w:line="360" w:lineRule="auto"/>
        <w:jc w:val="center"/>
        <w:rPr>
          <w:rFonts w:ascii="宋体"/>
          <w:b/>
          <w:color w:val="000000" w:themeColor="text1"/>
          <w:sz w:val="48"/>
          <w:szCs w:val="48"/>
        </w:rPr>
      </w:pPr>
    </w:p>
    <w:p>
      <w:pPr>
        <w:snapToGrid w:val="0"/>
        <w:spacing w:line="360" w:lineRule="auto"/>
        <w:jc w:val="center"/>
        <w:rPr>
          <w:rFonts w:ascii="宋体"/>
          <w:b/>
          <w:color w:val="000000" w:themeColor="text1"/>
          <w:sz w:val="68"/>
          <w:szCs w:val="68"/>
        </w:rPr>
      </w:pPr>
      <w:r>
        <w:rPr>
          <w:rFonts w:ascii="宋体" w:hAnsi="宋体"/>
          <w:b/>
          <w:color w:val="000000" w:themeColor="text1"/>
          <w:sz w:val="68"/>
          <w:szCs w:val="68"/>
        </w:rPr>
        <w:t>20</w:t>
      </w:r>
      <w:r>
        <w:rPr>
          <w:rFonts w:hint="eastAsia" w:ascii="宋体" w:hAnsi="宋体"/>
          <w:b/>
          <w:color w:val="000000" w:themeColor="text1"/>
          <w:sz w:val="68"/>
          <w:szCs w:val="68"/>
        </w:rPr>
        <w:t>21年沧州临港经济技术开发区财政预算（草案）</w:t>
      </w:r>
    </w:p>
    <w:p>
      <w:pPr>
        <w:spacing w:line="360" w:lineRule="auto"/>
        <w:rPr>
          <w:rFonts w:ascii="仿宋_GB2312" w:hAnsi="宋体" w:eastAsia="仿宋_GB2312"/>
          <w:color w:val="000000" w:themeColor="text1"/>
          <w:sz w:val="32"/>
          <w:szCs w:val="32"/>
        </w:rPr>
      </w:pPr>
    </w:p>
    <w:p>
      <w:pPr>
        <w:spacing w:line="360" w:lineRule="auto"/>
        <w:ind w:firstLine="290" w:firstLineChars="100"/>
        <w:rPr>
          <w:rFonts w:ascii="仿宋_GB2312" w:hAnsi="宋体" w:eastAsia="仿宋_GB2312"/>
          <w:color w:val="000000" w:themeColor="text1"/>
          <w:sz w:val="29"/>
          <w:szCs w:val="29"/>
        </w:rPr>
      </w:pPr>
    </w:p>
    <w:p>
      <w:pPr>
        <w:spacing w:line="360" w:lineRule="auto"/>
        <w:ind w:firstLine="290" w:firstLineChars="100"/>
        <w:rPr>
          <w:rFonts w:ascii="仿宋_GB2312" w:hAnsi="宋体" w:eastAsia="仿宋_GB2312"/>
          <w:color w:val="000000" w:themeColor="text1"/>
          <w:sz w:val="29"/>
          <w:szCs w:val="29"/>
        </w:rPr>
      </w:pPr>
      <w:r>
        <w:rPr>
          <w:rFonts w:ascii="仿宋_GB2312" w:hAnsi="宋体" w:eastAsia="仿宋_GB2312"/>
          <w:color w:val="000000" w:themeColor="text1"/>
          <w:sz w:val="29"/>
          <w:szCs w:val="29"/>
        </w:rPr>
        <w:t>——20</w:t>
      </w:r>
      <w:r>
        <w:rPr>
          <w:rFonts w:hint="eastAsia" w:ascii="仿宋_GB2312" w:hAnsi="宋体" w:eastAsia="仿宋_GB2312"/>
          <w:color w:val="000000" w:themeColor="text1"/>
          <w:sz w:val="29"/>
          <w:szCs w:val="29"/>
        </w:rPr>
        <w:t>21年沧州临港经济技术开发区公共财政预算（草案）</w:t>
      </w:r>
    </w:p>
    <w:p>
      <w:pPr>
        <w:spacing w:line="360" w:lineRule="auto"/>
        <w:ind w:firstLine="290" w:firstLineChars="100"/>
        <w:rPr>
          <w:rFonts w:ascii="仿宋_GB2312" w:hAnsi="宋体" w:eastAsia="仿宋_GB2312"/>
          <w:color w:val="000000" w:themeColor="text1"/>
          <w:sz w:val="29"/>
          <w:szCs w:val="29"/>
        </w:rPr>
      </w:pPr>
      <w:r>
        <w:rPr>
          <w:rFonts w:ascii="仿宋_GB2312" w:hAnsi="宋体" w:eastAsia="仿宋_GB2312"/>
          <w:color w:val="000000" w:themeColor="text1"/>
          <w:sz w:val="29"/>
          <w:szCs w:val="29"/>
        </w:rPr>
        <w:t>——20</w:t>
      </w:r>
      <w:r>
        <w:rPr>
          <w:rFonts w:hint="eastAsia" w:ascii="仿宋_GB2312" w:hAnsi="宋体" w:eastAsia="仿宋_GB2312"/>
          <w:color w:val="000000" w:themeColor="text1"/>
          <w:sz w:val="29"/>
          <w:szCs w:val="29"/>
        </w:rPr>
        <w:t>21年沧州临港经济技术开发区政府性基金预算（草案）</w:t>
      </w:r>
    </w:p>
    <w:p>
      <w:pPr>
        <w:spacing w:line="360" w:lineRule="auto"/>
        <w:ind w:firstLine="290" w:firstLineChars="100"/>
        <w:rPr>
          <w:rFonts w:ascii="仿宋_GB2312" w:hAnsi="宋体" w:eastAsia="仿宋_GB2312"/>
          <w:color w:val="000000" w:themeColor="text1"/>
          <w:sz w:val="29"/>
          <w:szCs w:val="29"/>
        </w:rPr>
      </w:pPr>
      <w:r>
        <w:rPr>
          <w:rFonts w:ascii="仿宋_GB2312" w:hAnsi="宋体" w:eastAsia="仿宋_GB2312"/>
          <w:color w:val="000000" w:themeColor="text1"/>
          <w:sz w:val="29"/>
          <w:szCs w:val="29"/>
        </w:rPr>
        <w:t>——20</w:t>
      </w:r>
      <w:r>
        <w:rPr>
          <w:rFonts w:hint="eastAsia" w:ascii="仿宋_GB2312" w:hAnsi="宋体" w:eastAsia="仿宋_GB2312"/>
          <w:color w:val="000000" w:themeColor="text1"/>
          <w:sz w:val="29"/>
          <w:szCs w:val="29"/>
        </w:rPr>
        <w:t>21年沧州临港经济技术开发区社会保险基金预算（草案）</w:t>
      </w:r>
    </w:p>
    <w:p>
      <w:pPr>
        <w:spacing w:line="360" w:lineRule="auto"/>
        <w:ind w:firstLine="290" w:firstLineChars="100"/>
        <w:rPr>
          <w:rFonts w:ascii="仿宋_GB2312" w:hAnsi="宋体" w:eastAsia="仿宋_GB2312"/>
          <w:color w:val="000000" w:themeColor="text1"/>
          <w:sz w:val="29"/>
          <w:szCs w:val="29"/>
        </w:rPr>
      </w:pPr>
      <w:r>
        <w:rPr>
          <w:rFonts w:ascii="仿宋_GB2312" w:hAnsi="宋体" w:eastAsia="仿宋_GB2312"/>
          <w:color w:val="000000" w:themeColor="text1"/>
          <w:sz w:val="29"/>
          <w:szCs w:val="29"/>
        </w:rPr>
        <w:t>——20</w:t>
      </w:r>
      <w:r>
        <w:rPr>
          <w:rFonts w:hint="eastAsia" w:ascii="仿宋_GB2312" w:hAnsi="宋体" w:eastAsia="仿宋_GB2312"/>
          <w:color w:val="000000" w:themeColor="text1"/>
          <w:sz w:val="29"/>
          <w:szCs w:val="29"/>
        </w:rPr>
        <w:t>21年沧州临港经济技术开发区国有资本经营预算（草案）</w:t>
      </w:r>
    </w:p>
    <w:p>
      <w:pPr>
        <w:spacing w:line="220" w:lineRule="atLeast"/>
        <w:rPr>
          <w:color w:val="000000" w:themeColor="text1"/>
        </w:rPr>
      </w:pPr>
    </w:p>
    <w:p>
      <w:pPr>
        <w:spacing w:line="220" w:lineRule="atLeast"/>
        <w:rPr>
          <w:color w:val="000000" w:themeColor="text1"/>
        </w:rPr>
      </w:pPr>
    </w:p>
    <w:p>
      <w:pPr>
        <w:spacing w:line="360" w:lineRule="auto"/>
        <w:rPr>
          <w:rFonts w:ascii="仿宋_GB2312" w:eastAsia="仿宋_GB2312"/>
          <w:b/>
          <w:color w:val="000000" w:themeColor="text1"/>
          <w:sz w:val="32"/>
          <w:szCs w:val="32"/>
        </w:rPr>
      </w:pPr>
    </w:p>
    <w:p>
      <w:pPr>
        <w:spacing w:line="360" w:lineRule="auto"/>
        <w:jc w:val="center"/>
        <w:rPr>
          <w:rFonts w:ascii="黑体" w:eastAsia="黑体"/>
          <w:b/>
          <w:color w:val="000000" w:themeColor="text1"/>
          <w:sz w:val="52"/>
          <w:szCs w:val="52"/>
        </w:rPr>
      </w:pPr>
    </w:p>
    <w:p>
      <w:pPr>
        <w:spacing w:line="360" w:lineRule="auto"/>
        <w:jc w:val="center"/>
        <w:rPr>
          <w:rFonts w:ascii="黑体" w:eastAsia="黑体"/>
          <w:b/>
          <w:color w:val="000000" w:themeColor="text1"/>
          <w:sz w:val="52"/>
          <w:szCs w:val="52"/>
        </w:rPr>
      </w:pPr>
    </w:p>
    <w:p>
      <w:pPr>
        <w:spacing w:line="360" w:lineRule="auto"/>
        <w:jc w:val="center"/>
        <w:rPr>
          <w:rFonts w:ascii="黑体" w:eastAsia="黑体"/>
          <w:b/>
          <w:color w:val="000000" w:themeColor="text1"/>
          <w:sz w:val="52"/>
          <w:szCs w:val="52"/>
        </w:rPr>
      </w:pPr>
    </w:p>
    <w:p>
      <w:pPr>
        <w:spacing w:line="360" w:lineRule="auto"/>
        <w:jc w:val="center"/>
        <w:rPr>
          <w:rFonts w:ascii="黑体" w:eastAsia="黑体"/>
          <w:b/>
          <w:color w:val="000000" w:themeColor="text1"/>
          <w:sz w:val="52"/>
          <w:szCs w:val="52"/>
        </w:rPr>
      </w:pPr>
    </w:p>
    <w:p>
      <w:pPr>
        <w:jc w:val="center"/>
        <w:rPr>
          <w:b/>
          <w:color w:val="000000" w:themeColor="text1"/>
          <w:sz w:val="40"/>
          <w:szCs w:val="40"/>
        </w:rPr>
        <w:sectPr>
          <w:headerReference r:id="rId3" w:type="default"/>
          <w:footerReference r:id="rId4" w:type="default"/>
          <w:footerReference r:id="rId5" w:type="even"/>
          <w:pgSz w:w="11906" w:h="16838"/>
          <w:pgMar w:top="1440" w:right="1701" w:bottom="1440" w:left="1588" w:header="709" w:footer="709" w:gutter="0"/>
          <w:pgNumType w:fmt="numberInDash" w:start="0"/>
          <w:cols w:space="708" w:num="1"/>
          <w:titlePg/>
          <w:docGrid w:type="lines" w:linePitch="360" w:charSpace="0"/>
        </w:sectPr>
      </w:pPr>
      <w:r>
        <w:rPr>
          <w:rFonts w:hint="eastAsia"/>
          <w:b/>
          <w:color w:val="000000" w:themeColor="text1"/>
          <w:sz w:val="40"/>
          <w:szCs w:val="40"/>
        </w:rPr>
        <w:t>2020年</w:t>
      </w:r>
      <w:r>
        <w:rPr>
          <w:b/>
          <w:color w:val="000000" w:themeColor="text1"/>
          <w:sz w:val="40"/>
          <w:szCs w:val="40"/>
        </w:rPr>
        <w:t>1</w:t>
      </w:r>
      <w:r>
        <w:rPr>
          <w:rFonts w:hint="eastAsia"/>
          <w:b/>
          <w:color w:val="000000" w:themeColor="text1"/>
          <w:sz w:val="40"/>
          <w:szCs w:val="40"/>
        </w:rPr>
        <w:t>2月</w:t>
      </w:r>
    </w:p>
    <w:p>
      <w:pPr>
        <w:pStyle w:val="80"/>
        <w:spacing w:afterLines="100"/>
        <w:jc w:val="center"/>
        <w:rPr>
          <w:rFonts w:ascii="仿宋" w:hAnsi="仿宋" w:eastAsia="仿宋"/>
          <w:color w:val="000000" w:themeColor="text1"/>
          <w:sz w:val="36"/>
          <w:szCs w:val="36"/>
        </w:rPr>
      </w:pPr>
      <w:r>
        <w:rPr>
          <w:rFonts w:hint="eastAsia" w:ascii="仿宋" w:hAnsi="仿宋" w:eastAsia="仿宋"/>
          <w:color w:val="000000" w:themeColor="text1"/>
          <w:sz w:val="36"/>
          <w:szCs w:val="36"/>
          <w:lang w:val="zh-CN"/>
        </w:rPr>
        <w:t>目</w:t>
      </w:r>
      <w:r>
        <w:rPr>
          <w:rFonts w:ascii="仿宋" w:hAnsi="仿宋" w:eastAsia="仿宋"/>
          <w:color w:val="000000" w:themeColor="text1"/>
          <w:sz w:val="36"/>
          <w:szCs w:val="36"/>
          <w:lang w:val="zh-CN"/>
        </w:rPr>
        <w:t xml:space="preserve">    </w:t>
      </w:r>
      <w:r>
        <w:rPr>
          <w:rFonts w:hint="eastAsia" w:ascii="仿宋" w:hAnsi="仿宋" w:eastAsia="仿宋"/>
          <w:color w:val="000000" w:themeColor="text1"/>
          <w:sz w:val="36"/>
          <w:szCs w:val="36"/>
          <w:lang w:val="zh-CN"/>
        </w:rPr>
        <w:t>录</w:t>
      </w:r>
    </w:p>
    <w:p>
      <w:pPr>
        <w:pStyle w:val="12"/>
        <w:tabs>
          <w:tab w:val="right" w:leader="dot" w:pos="8607"/>
        </w:tabs>
        <w:rPr>
          <w:rFonts w:asciiTheme="minorHAnsi" w:hAnsiTheme="minorHAnsi" w:eastAsiaTheme="minorEastAsia" w:cstheme="minorBidi"/>
          <w:kern w:val="2"/>
          <w:sz w:val="21"/>
        </w:rPr>
      </w:pPr>
      <w:r>
        <w:rPr>
          <w:rFonts w:hint="eastAsia" w:ascii="仿宋_GB2312" w:eastAsia="仿宋_GB2312"/>
          <w:color w:val="000000" w:themeColor="text1"/>
          <w:sz w:val="24"/>
          <w:szCs w:val="24"/>
        </w:rPr>
        <w:fldChar w:fldCharType="begin"/>
      </w:r>
      <w:r>
        <w:rPr>
          <w:rFonts w:hint="eastAsia" w:ascii="仿宋_GB2312" w:eastAsia="仿宋_GB2312"/>
          <w:color w:val="000000" w:themeColor="text1"/>
          <w:sz w:val="24"/>
          <w:szCs w:val="24"/>
        </w:rPr>
        <w:instrText xml:space="preserve"> TOC \o "1-3" \h \z \u </w:instrText>
      </w:r>
      <w:r>
        <w:rPr>
          <w:rFonts w:hint="eastAsia" w:ascii="仿宋_GB2312" w:eastAsia="仿宋_GB2312"/>
          <w:color w:val="000000" w:themeColor="text1"/>
          <w:sz w:val="24"/>
          <w:szCs w:val="24"/>
        </w:rPr>
        <w:fldChar w:fldCharType="separate"/>
      </w:r>
      <w:r>
        <w:fldChar w:fldCharType="begin"/>
      </w:r>
      <w:r>
        <w:instrText xml:space="preserve"> HYPERLINK \l "_Toc60125988" </w:instrText>
      </w:r>
      <w:r>
        <w:fldChar w:fldCharType="separate"/>
      </w:r>
      <w:r>
        <w:rPr>
          <w:rStyle w:val="20"/>
          <w:rFonts w:ascii="仿宋_GB2312" w:hAnsi="宋体" w:eastAsia="仿宋_GB2312"/>
        </w:rPr>
        <w:t>2021</w:t>
      </w:r>
      <w:r>
        <w:rPr>
          <w:rStyle w:val="20"/>
          <w:rFonts w:hint="eastAsia" w:ascii="仿宋_GB2312" w:hAnsi="宋体" w:eastAsia="仿宋_GB2312"/>
        </w:rPr>
        <w:t>年沧州临港经济技术开发区财政预算（草案）</w:t>
      </w:r>
      <w:r>
        <w:tab/>
      </w:r>
      <w:r>
        <w:fldChar w:fldCharType="begin"/>
      </w:r>
      <w:r>
        <w:instrText xml:space="preserve"> PAGEREF _Toc60125988 \h </w:instrText>
      </w:r>
      <w:r>
        <w:fldChar w:fldCharType="separate"/>
      </w:r>
      <w:r>
        <w:t>1</w:t>
      </w:r>
      <w:r>
        <w:fldChar w:fldCharType="end"/>
      </w:r>
      <w:r>
        <w:fldChar w:fldCharType="end"/>
      </w:r>
    </w:p>
    <w:p>
      <w:pPr>
        <w:pStyle w:val="13"/>
        <w:tabs>
          <w:tab w:val="right" w:leader="dot" w:pos="8607"/>
        </w:tabs>
        <w:rPr>
          <w:rFonts w:asciiTheme="minorHAnsi" w:hAnsiTheme="minorHAnsi" w:eastAsiaTheme="minorEastAsia" w:cstheme="minorBidi"/>
          <w:kern w:val="2"/>
          <w:sz w:val="21"/>
        </w:rPr>
      </w:pPr>
      <w:r>
        <w:fldChar w:fldCharType="begin"/>
      </w:r>
      <w:r>
        <w:instrText xml:space="preserve"> HYPERLINK \l "_Toc60125989" </w:instrText>
      </w:r>
      <w:r>
        <w:fldChar w:fldCharType="separate"/>
      </w:r>
      <w:r>
        <w:rPr>
          <w:rStyle w:val="20"/>
          <w:rFonts w:hint="eastAsia" w:ascii="仿宋_GB2312" w:hAnsi="宋体" w:eastAsia="仿宋_GB2312"/>
        </w:rPr>
        <w:t>第一部分</w:t>
      </w:r>
      <w:r>
        <w:rPr>
          <w:rStyle w:val="20"/>
          <w:rFonts w:ascii="仿宋_GB2312" w:hAnsi="宋体" w:eastAsia="仿宋_GB2312"/>
        </w:rPr>
        <w:t xml:space="preserve">  2021</w:t>
      </w:r>
      <w:r>
        <w:rPr>
          <w:rStyle w:val="20"/>
          <w:rFonts w:hint="eastAsia" w:ascii="仿宋_GB2312" w:hAnsi="宋体" w:eastAsia="仿宋_GB2312"/>
        </w:rPr>
        <w:t>年财政形势及预算编制总体纲要</w:t>
      </w:r>
      <w:r>
        <w:tab/>
      </w:r>
      <w:r>
        <w:fldChar w:fldCharType="begin"/>
      </w:r>
      <w:r>
        <w:instrText xml:space="preserve"> PAGEREF _Toc60125989 \h </w:instrText>
      </w:r>
      <w:r>
        <w:fldChar w:fldCharType="separate"/>
      </w:r>
      <w:r>
        <w:t>1</w:t>
      </w:r>
      <w:r>
        <w:fldChar w:fldCharType="end"/>
      </w:r>
      <w:r>
        <w:fldChar w:fldCharType="end"/>
      </w:r>
    </w:p>
    <w:p>
      <w:pPr>
        <w:pStyle w:val="7"/>
        <w:tabs>
          <w:tab w:val="right" w:leader="dot" w:pos="8607"/>
        </w:tabs>
        <w:rPr>
          <w:rFonts w:asciiTheme="minorHAnsi" w:hAnsiTheme="minorHAnsi" w:eastAsiaTheme="minorEastAsia" w:cstheme="minorBidi"/>
          <w:kern w:val="2"/>
          <w:sz w:val="21"/>
        </w:rPr>
      </w:pPr>
      <w:r>
        <w:fldChar w:fldCharType="begin"/>
      </w:r>
      <w:r>
        <w:instrText xml:space="preserve"> HYPERLINK \l "_Toc60125990" </w:instrText>
      </w:r>
      <w:r>
        <w:fldChar w:fldCharType="separate"/>
      </w:r>
      <w:r>
        <w:rPr>
          <w:rStyle w:val="20"/>
          <w:rFonts w:ascii="仿宋_GB2312" w:eastAsia="仿宋_GB2312"/>
        </w:rPr>
        <w:t xml:space="preserve">§1  </w:t>
      </w:r>
      <w:r>
        <w:rPr>
          <w:rStyle w:val="20"/>
          <w:rFonts w:hint="eastAsia" w:ascii="仿宋_GB2312" w:eastAsia="仿宋_GB2312"/>
        </w:rPr>
        <w:t>财政经济形势及经济社会发展主要预期目标</w:t>
      </w:r>
      <w:r>
        <w:tab/>
      </w:r>
      <w:r>
        <w:fldChar w:fldCharType="begin"/>
      </w:r>
      <w:r>
        <w:instrText xml:space="preserve"> PAGEREF _Toc60125990 \h </w:instrText>
      </w:r>
      <w:r>
        <w:fldChar w:fldCharType="separate"/>
      </w:r>
      <w:r>
        <w:t>1</w:t>
      </w:r>
      <w:r>
        <w:fldChar w:fldCharType="end"/>
      </w:r>
      <w:r>
        <w:fldChar w:fldCharType="end"/>
      </w:r>
    </w:p>
    <w:p>
      <w:pPr>
        <w:pStyle w:val="7"/>
        <w:tabs>
          <w:tab w:val="right" w:leader="dot" w:pos="8607"/>
        </w:tabs>
        <w:rPr>
          <w:rFonts w:asciiTheme="minorHAnsi" w:hAnsiTheme="minorHAnsi" w:eastAsiaTheme="minorEastAsia" w:cstheme="minorBidi"/>
          <w:kern w:val="2"/>
          <w:sz w:val="21"/>
        </w:rPr>
      </w:pPr>
      <w:r>
        <w:fldChar w:fldCharType="begin"/>
      </w:r>
      <w:r>
        <w:instrText xml:space="preserve"> HYPERLINK \l "_Toc60125991" </w:instrText>
      </w:r>
      <w:r>
        <w:fldChar w:fldCharType="separate"/>
      </w:r>
      <w:r>
        <w:rPr>
          <w:rStyle w:val="20"/>
          <w:rFonts w:ascii="仿宋_GB2312" w:eastAsia="仿宋_GB2312"/>
        </w:rPr>
        <w:t xml:space="preserve">§2  </w:t>
      </w:r>
      <w:r>
        <w:rPr>
          <w:rStyle w:val="20"/>
          <w:rFonts w:hint="eastAsia" w:ascii="仿宋_GB2312" w:eastAsia="仿宋_GB2312"/>
        </w:rPr>
        <w:t>预算编制的指导思想和编制原则</w:t>
      </w:r>
      <w:r>
        <w:tab/>
      </w:r>
      <w:r>
        <w:fldChar w:fldCharType="begin"/>
      </w:r>
      <w:r>
        <w:instrText xml:space="preserve"> PAGEREF _Toc60125991 \h </w:instrText>
      </w:r>
      <w:r>
        <w:fldChar w:fldCharType="separate"/>
      </w:r>
      <w:r>
        <w:t>3</w:t>
      </w:r>
      <w:r>
        <w:fldChar w:fldCharType="end"/>
      </w:r>
      <w:r>
        <w:fldChar w:fldCharType="end"/>
      </w:r>
    </w:p>
    <w:p>
      <w:pPr>
        <w:pStyle w:val="13"/>
        <w:tabs>
          <w:tab w:val="right" w:leader="dot" w:pos="8607"/>
        </w:tabs>
        <w:rPr>
          <w:rFonts w:asciiTheme="minorHAnsi" w:hAnsiTheme="minorHAnsi" w:eastAsiaTheme="minorEastAsia" w:cstheme="minorBidi"/>
          <w:kern w:val="2"/>
          <w:sz w:val="21"/>
        </w:rPr>
      </w:pPr>
      <w:r>
        <w:fldChar w:fldCharType="begin"/>
      </w:r>
      <w:r>
        <w:instrText xml:space="preserve"> HYPERLINK \l "_Toc60125992" </w:instrText>
      </w:r>
      <w:r>
        <w:fldChar w:fldCharType="separate"/>
      </w:r>
      <w:r>
        <w:rPr>
          <w:rStyle w:val="20"/>
          <w:rFonts w:hint="eastAsia" w:ascii="仿宋_GB2312" w:eastAsia="仿宋_GB2312"/>
        </w:rPr>
        <w:t>第二部分</w:t>
      </w:r>
      <w:r>
        <w:rPr>
          <w:rStyle w:val="20"/>
          <w:rFonts w:ascii="仿宋_GB2312" w:eastAsia="仿宋_GB2312"/>
        </w:rPr>
        <w:t xml:space="preserve">  2021</w:t>
      </w:r>
      <w:r>
        <w:rPr>
          <w:rStyle w:val="20"/>
          <w:rFonts w:hint="eastAsia" w:ascii="仿宋_GB2312" w:eastAsia="仿宋_GB2312"/>
        </w:rPr>
        <w:t>年沧州临港经济技术开发区公共财政预算（草案）</w:t>
      </w:r>
      <w:r>
        <w:tab/>
      </w:r>
      <w:r>
        <w:fldChar w:fldCharType="begin"/>
      </w:r>
      <w:r>
        <w:instrText xml:space="preserve"> PAGEREF _Toc60125992 \h </w:instrText>
      </w:r>
      <w:r>
        <w:fldChar w:fldCharType="separate"/>
      </w:r>
      <w:r>
        <w:t>5</w:t>
      </w:r>
      <w:r>
        <w:fldChar w:fldCharType="end"/>
      </w:r>
      <w:r>
        <w:fldChar w:fldCharType="end"/>
      </w:r>
    </w:p>
    <w:p>
      <w:pPr>
        <w:pStyle w:val="7"/>
        <w:tabs>
          <w:tab w:val="right" w:leader="dot" w:pos="8607"/>
        </w:tabs>
        <w:rPr>
          <w:rFonts w:asciiTheme="minorHAnsi" w:hAnsiTheme="minorHAnsi" w:eastAsiaTheme="minorEastAsia" w:cstheme="minorBidi"/>
          <w:kern w:val="2"/>
          <w:sz w:val="21"/>
        </w:rPr>
      </w:pPr>
      <w:r>
        <w:fldChar w:fldCharType="begin"/>
      </w:r>
      <w:r>
        <w:instrText xml:space="preserve"> HYPERLINK \l "_Toc60125993" </w:instrText>
      </w:r>
      <w:r>
        <w:fldChar w:fldCharType="separate"/>
      </w:r>
      <w:r>
        <w:rPr>
          <w:rStyle w:val="20"/>
          <w:rFonts w:ascii="仿宋_GB2312" w:eastAsia="仿宋_GB2312"/>
        </w:rPr>
        <w:t>§1  2021</w:t>
      </w:r>
      <w:r>
        <w:rPr>
          <w:rStyle w:val="20"/>
          <w:rFonts w:hint="eastAsia" w:ascii="仿宋_GB2312" w:eastAsia="仿宋_GB2312"/>
        </w:rPr>
        <w:t>年公共财政预算收支安排情况</w:t>
      </w:r>
      <w:r>
        <w:tab/>
      </w:r>
      <w:r>
        <w:fldChar w:fldCharType="begin"/>
      </w:r>
      <w:r>
        <w:instrText xml:space="preserve"> PAGEREF _Toc60125993 \h </w:instrText>
      </w:r>
      <w:r>
        <w:fldChar w:fldCharType="separate"/>
      </w:r>
      <w:r>
        <w:t>5</w:t>
      </w:r>
      <w:r>
        <w:fldChar w:fldCharType="end"/>
      </w:r>
      <w:r>
        <w:fldChar w:fldCharType="end"/>
      </w:r>
    </w:p>
    <w:p>
      <w:pPr>
        <w:pStyle w:val="7"/>
        <w:tabs>
          <w:tab w:val="right" w:leader="dot" w:pos="8607"/>
        </w:tabs>
        <w:rPr>
          <w:rFonts w:asciiTheme="minorHAnsi" w:hAnsiTheme="minorHAnsi" w:eastAsiaTheme="minorEastAsia" w:cstheme="minorBidi"/>
          <w:kern w:val="2"/>
          <w:sz w:val="21"/>
        </w:rPr>
      </w:pPr>
      <w:r>
        <w:fldChar w:fldCharType="begin"/>
      </w:r>
      <w:r>
        <w:instrText xml:space="preserve"> HYPERLINK \l "_Toc60125994" </w:instrText>
      </w:r>
      <w:r>
        <w:fldChar w:fldCharType="separate"/>
      </w:r>
      <w:r>
        <w:rPr>
          <w:rStyle w:val="20"/>
          <w:rFonts w:ascii="仿宋_GB2312" w:eastAsia="仿宋_GB2312"/>
        </w:rPr>
        <w:t>§2  2021</w:t>
      </w:r>
      <w:r>
        <w:rPr>
          <w:rStyle w:val="20"/>
          <w:rFonts w:hint="eastAsia" w:ascii="仿宋_GB2312" w:eastAsia="仿宋_GB2312"/>
        </w:rPr>
        <w:t>年公共财政预算收支平衡表</w:t>
      </w:r>
      <w:r>
        <w:tab/>
      </w:r>
      <w:r>
        <w:fldChar w:fldCharType="begin"/>
      </w:r>
      <w:r>
        <w:instrText xml:space="preserve"> PAGEREF _Toc60125994 \h </w:instrText>
      </w:r>
      <w:r>
        <w:fldChar w:fldCharType="separate"/>
      </w:r>
      <w:r>
        <w:t>8</w:t>
      </w:r>
      <w:r>
        <w:fldChar w:fldCharType="end"/>
      </w:r>
      <w:r>
        <w:fldChar w:fldCharType="end"/>
      </w:r>
    </w:p>
    <w:p>
      <w:pPr>
        <w:pStyle w:val="7"/>
        <w:tabs>
          <w:tab w:val="right" w:leader="dot" w:pos="8607"/>
        </w:tabs>
        <w:rPr>
          <w:rFonts w:asciiTheme="minorHAnsi" w:hAnsiTheme="minorHAnsi" w:eastAsiaTheme="minorEastAsia" w:cstheme="minorBidi"/>
          <w:kern w:val="2"/>
          <w:sz w:val="21"/>
        </w:rPr>
      </w:pPr>
      <w:r>
        <w:fldChar w:fldCharType="begin"/>
      </w:r>
      <w:r>
        <w:instrText xml:space="preserve"> HYPERLINK \l "_Toc60125995" </w:instrText>
      </w:r>
      <w:r>
        <w:fldChar w:fldCharType="separate"/>
      </w:r>
      <w:r>
        <w:rPr>
          <w:rStyle w:val="20"/>
          <w:rFonts w:ascii="仿宋_GB2312" w:eastAsia="仿宋_GB2312"/>
        </w:rPr>
        <w:t>§3  2021</w:t>
      </w:r>
      <w:r>
        <w:rPr>
          <w:rStyle w:val="20"/>
          <w:rFonts w:hint="eastAsia" w:ascii="仿宋_GB2312" w:eastAsia="仿宋_GB2312"/>
        </w:rPr>
        <w:t>年区本级一般公共预算收入表</w:t>
      </w:r>
      <w:r>
        <w:tab/>
      </w:r>
      <w:r>
        <w:fldChar w:fldCharType="begin"/>
      </w:r>
      <w:r>
        <w:instrText xml:space="preserve"> PAGEREF _Toc60125995 \h </w:instrText>
      </w:r>
      <w:r>
        <w:fldChar w:fldCharType="separate"/>
      </w:r>
      <w:r>
        <w:t>9</w:t>
      </w:r>
      <w:r>
        <w:fldChar w:fldCharType="end"/>
      </w:r>
      <w:r>
        <w:fldChar w:fldCharType="end"/>
      </w:r>
    </w:p>
    <w:p>
      <w:pPr>
        <w:pStyle w:val="7"/>
        <w:tabs>
          <w:tab w:val="right" w:leader="dot" w:pos="8607"/>
        </w:tabs>
        <w:rPr>
          <w:rFonts w:asciiTheme="minorHAnsi" w:hAnsiTheme="minorHAnsi" w:eastAsiaTheme="minorEastAsia" w:cstheme="minorBidi"/>
          <w:kern w:val="2"/>
          <w:sz w:val="21"/>
        </w:rPr>
      </w:pPr>
      <w:r>
        <w:fldChar w:fldCharType="begin"/>
      </w:r>
      <w:r>
        <w:instrText xml:space="preserve"> HYPERLINK \l "_Toc60125996" </w:instrText>
      </w:r>
      <w:r>
        <w:fldChar w:fldCharType="separate"/>
      </w:r>
      <w:r>
        <w:rPr>
          <w:rStyle w:val="20"/>
          <w:rFonts w:ascii="仿宋_GB2312" w:eastAsia="仿宋_GB2312"/>
        </w:rPr>
        <w:t>§4  2021</w:t>
      </w:r>
      <w:r>
        <w:rPr>
          <w:rStyle w:val="20"/>
          <w:rFonts w:hint="eastAsia" w:ascii="仿宋_GB2312" w:eastAsia="仿宋_GB2312"/>
        </w:rPr>
        <w:t>年区本级一般公共预算支出功能分类汇总表</w:t>
      </w:r>
      <w:r>
        <w:tab/>
      </w:r>
      <w:r>
        <w:fldChar w:fldCharType="begin"/>
      </w:r>
      <w:r>
        <w:instrText xml:space="preserve"> PAGEREF _Toc60125996 \h </w:instrText>
      </w:r>
      <w:r>
        <w:fldChar w:fldCharType="separate"/>
      </w:r>
      <w:r>
        <w:t>10</w:t>
      </w:r>
      <w:r>
        <w:fldChar w:fldCharType="end"/>
      </w:r>
      <w:r>
        <w:fldChar w:fldCharType="end"/>
      </w:r>
    </w:p>
    <w:p>
      <w:pPr>
        <w:pStyle w:val="7"/>
        <w:tabs>
          <w:tab w:val="right" w:leader="dot" w:pos="8607"/>
        </w:tabs>
        <w:rPr>
          <w:rFonts w:asciiTheme="minorHAnsi" w:hAnsiTheme="minorHAnsi" w:eastAsiaTheme="minorEastAsia" w:cstheme="minorBidi"/>
          <w:kern w:val="2"/>
          <w:sz w:val="21"/>
        </w:rPr>
      </w:pPr>
      <w:r>
        <w:fldChar w:fldCharType="begin"/>
      </w:r>
      <w:r>
        <w:instrText xml:space="preserve"> HYPERLINK \l "_Toc60125997" </w:instrText>
      </w:r>
      <w:r>
        <w:fldChar w:fldCharType="separate"/>
      </w:r>
      <w:r>
        <w:rPr>
          <w:rStyle w:val="20"/>
          <w:rFonts w:ascii="仿宋_GB2312" w:eastAsia="仿宋_GB2312"/>
        </w:rPr>
        <w:t>§5  2021</w:t>
      </w:r>
      <w:r>
        <w:rPr>
          <w:rStyle w:val="20"/>
          <w:rFonts w:hint="eastAsia" w:ascii="仿宋_GB2312" w:eastAsia="仿宋_GB2312"/>
        </w:rPr>
        <w:t>年区本级基本支出经济分类表</w:t>
      </w:r>
      <w:r>
        <w:tab/>
      </w:r>
      <w:r>
        <w:fldChar w:fldCharType="begin"/>
      </w:r>
      <w:r>
        <w:instrText xml:space="preserve"> PAGEREF _Toc60125997 \h </w:instrText>
      </w:r>
      <w:r>
        <w:fldChar w:fldCharType="separate"/>
      </w:r>
      <w:r>
        <w:t>13</w:t>
      </w:r>
      <w:r>
        <w:fldChar w:fldCharType="end"/>
      </w:r>
      <w:r>
        <w:fldChar w:fldCharType="end"/>
      </w:r>
    </w:p>
    <w:p>
      <w:pPr>
        <w:pStyle w:val="7"/>
        <w:tabs>
          <w:tab w:val="right" w:leader="dot" w:pos="8607"/>
        </w:tabs>
        <w:rPr>
          <w:rFonts w:asciiTheme="minorHAnsi" w:hAnsiTheme="minorHAnsi" w:eastAsiaTheme="minorEastAsia" w:cstheme="minorBidi"/>
          <w:kern w:val="2"/>
          <w:sz w:val="21"/>
        </w:rPr>
      </w:pPr>
      <w:r>
        <w:fldChar w:fldCharType="begin"/>
      </w:r>
      <w:r>
        <w:instrText xml:space="preserve"> HYPERLINK \l "_Toc60125998" </w:instrText>
      </w:r>
      <w:r>
        <w:fldChar w:fldCharType="separate"/>
      </w:r>
      <w:r>
        <w:rPr>
          <w:rStyle w:val="20"/>
          <w:rFonts w:ascii="仿宋_GB2312" w:eastAsia="仿宋_GB2312"/>
        </w:rPr>
        <w:t>§6  2021</w:t>
      </w:r>
      <w:r>
        <w:rPr>
          <w:rStyle w:val="20"/>
          <w:rFonts w:hint="eastAsia" w:ascii="仿宋_GB2312" w:eastAsia="仿宋_GB2312"/>
        </w:rPr>
        <w:t>年财政资金安排</w:t>
      </w:r>
      <w:r>
        <w:rPr>
          <w:rStyle w:val="20"/>
          <w:rFonts w:hint="eastAsia" w:ascii="仿宋_GB2312" w:eastAsia="仿宋_GB2312"/>
          <w:lang w:eastAsia="zh-CN"/>
        </w:rPr>
        <w:t>“三公”经费</w:t>
      </w:r>
      <w:r>
        <w:rPr>
          <w:rStyle w:val="20"/>
          <w:rFonts w:hint="eastAsia" w:ascii="仿宋_GB2312" w:eastAsia="仿宋_GB2312"/>
        </w:rPr>
        <w:t>预算情况</w:t>
      </w:r>
      <w:r>
        <w:tab/>
      </w:r>
      <w:r>
        <w:fldChar w:fldCharType="begin"/>
      </w:r>
      <w:r>
        <w:instrText xml:space="preserve"> PAGEREF _Toc60125998 \h </w:instrText>
      </w:r>
      <w:r>
        <w:fldChar w:fldCharType="separate"/>
      </w:r>
      <w:r>
        <w:t>14</w:t>
      </w:r>
      <w:r>
        <w:fldChar w:fldCharType="end"/>
      </w:r>
      <w:r>
        <w:fldChar w:fldCharType="end"/>
      </w:r>
    </w:p>
    <w:p>
      <w:pPr>
        <w:pStyle w:val="13"/>
        <w:tabs>
          <w:tab w:val="right" w:leader="dot" w:pos="8607"/>
        </w:tabs>
        <w:rPr>
          <w:rFonts w:asciiTheme="minorHAnsi" w:hAnsiTheme="minorHAnsi" w:eastAsiaTheme="minorEastAsia" w:cstheme="minorBidi"/>
          <w:kern w:val="2"/>
          <w:sz w:val="21"/>
        </w:rPr>
      </w:pPr>
      <w:r>
        <w:fldChar w:fldCharType="begin"/>
      </w:r>
      <w:r>
        <w:instrText xml:space="preserve"> HYPERLINK \l "_Toc60125999" </w:instrText>
      </w:r>
      <w:r>
        <w:fldChar w:fldCharType="separate"/>
      </w:r>
      <w:r>
        <w:rPr>
          <w:rStyle w:val="20"/>
          <w:rFonts w:hint="eastAsia" w:ascii="仿宋_GB2312" w:eastAsia="仿宋_GB2312"/>
        </w:rPr>
        <w:t>第三部分</w:t>
      </w:r>
      <w:r>
        <w:rPr>
          <w:rStyle w:val="20"/>
          <w:rFonts w:ascii="仿宋_GB2312" w:eastAsia="仿宋_GB2312"/>
        </w:rPr>
        <w:t xml:space="preserve">  2021</w:t>
      </w:r>
      <w:r>
        <w:rPr>
          <w:rStyle w:val="20"/>
          <w:rFonts w:hint="eastAsia" w:ascii="仿宋_GB2312" w:eastAsia="仿宋_GB2312"/>
        </w:rPr>
        <w:t>年沧州临港经济技术开发区政府性基金预算（草案）</w:t>
      </w:r>
      <w:r>
        <w:tab/>
      </w:r>
      <w:r>
        <w:fldChar w:fldCharType="begin"/>
      </w:r>
      <w:r>
        <w:instrText xml:space="preserve"> PAGEREF _Toc60125999 \h </w:instrText>
      </w:r>
      <w:r>
        <w:fldChar w:fldCharType="separate"/>
      </w:r>
      <w:r>
        <w:t>15</w:t>
      </w:r>
      <w:r>
        <w:fldChar w:fldCharType="end"/>
      </w:r>
      <w:r>
        <w:fldChar w:fldCharType="end"/>
      </w:r>
    </w:p>
    <w:p>
      <w:pPr>
        <w:pStyle w:val="7"/>
        <w:tabs>
          <w:tab w:val="right" w:leader="dot" w:pos="8607"/>
        </w:tabs>
        <w:rPr>
          <w:rFonts w:asciiTheme="minorHAnsi" w:hAnsiTheme="minorHAnsi" w:eastAsiaTheme="minorEastAsia" w:cstheme="minorBidi"/>
          <w:kern w:val="2"/>
          <w:sz w:val="21"/>
        </w:rPr>
      </w:pPr>
      <w:r>
        <w:fldChar w:fldCharType="begin"/>
      </w:r>
      <w:r>
        <w:instrText xml:space="preserve"> HYPERLINK \l "_Toc60126000" </w:instrText>
      </w:r>
      <w:r>
        <w:fldChar w:fldCharType="separate"/>
      </w:r>
      <w:r>
        <w:rPr>
          <w:rStyle w:val="20"/>
          <w:rFonts w:ascii="仿宋_GB2312" w:eastAsia="仿宋_GB2312"/>
        </w:rPr>
        <w:t>§1  2021</w:t>
      </w:r>
      <w:r>
        <w:rPr>
          <w:rStyle w:val="20"/>
          <w:rFonts w:hint="eastAsia" w:ascii="仿宋_GB2312" w:eastAsia="仿宋_GB2312"/>
        </w:rPr>
        <w:t>年政府性基金预算收支安排</w:t>
      </w:r>
      <w:r>
        <w:tab/>
      </w:r>
      <w:r>
        <w:fldChar w:fldCharType="begin"/>
      </w:r>
      <w:r>
        <w:instrText xml:space="preserve"> PAGEREF _Toc60126000 \h </w:instrText>
      </w:r>
      <w:r>
        <w:fldChar w:fldCharType="separate"/>
      </w:r>
      <w:r>
        <w:t>15</w:t>
      </w:r>
      <w:r>
        <w:fldChar w:fldCharType="end"/>
      </w:r>
      <w:r>
        <w:fldChar w:fldCharType="end"/>
      </w:r>
    </w:p>
    <w:p>
      <w:pPr>
        <w:pStyle w:val="7"/>
        <w:tabs>
          <w:tab w:val="right" w:leader="dot" w:pos="8607"/>
        </w:tabs>
        <w:rPr>
          <w:rFonts w:asciiTheme="minorHAnsi" w:hAnsiTheme="minorHAnsi" w:eastAsiaTheme="minorEastAsia" w:cstheme="minorBidi"/>
          <w:kern w:val="2"/>
          <w:sz w:val="21"/>
        </w:rPr>
      </w:pPr>
      <w:r>
        <w:fldChar w:fldCharType="begin"/>
      </w:r>
      <w:r>
        <w:instrText xml:space="preserve"> HYPERLINK \l "_Toc60126001" </w:instrText>
      </w:r>
      <w:r>
        <w:fldChar w:fldCharType="separate"/>
      </w:r>
      <w:r>
        <w:rPr>
          <w:rStyle w:val="20"/>
          <w:rFonts w:ascii="仿宋_GB2312" w:eastAsia="仿宋_GB2312"/>
        </w:rPr>
        <w:t>§2  2021</w:t>
      </w:r>
      <w:r>
        <w:rPr>
          <w:rStyle w:val="20"/>
          <w:rFonts w:hint="eastAsia" w:ascii="仿宋_GB2312" w:eastAsia="仿宋_GB2312"/>
        </w:rPr>
        <w:t>年区本级政府性基金预算收入表</w:t>
      </w:r>
      <w:r>
        <w:tab/>
      </w:r>
      <w:r>
        <w:fldChar w:fldCharType="begin"/>
      </w:r>
      <w:r>
        <w:instrText xml:space="preserve"> PAGEREF _Toc60126001 \h </w:instrText>
      </w:r>
      <w:r>
        <w:fldChar w:fldCharType="separate"/>
      </w:r>
      <w:r>
        <w:t>18</w:t>
      </w:r>
      <w:r>
        <w:fldChar w:fldCharType="end"/>
      </w:r>
      <w:r>
        <w:fldChar w:fldCharType="end"/>
      </w:r>
    </w:p>
    <w:p>
      <w:pPr>
        <w:pStyle w:val="7"/>
        <w:tabs>
          <w:tab w:val="right" w:leader="dot" w:pos="8607"/>
        </w:tabs>
        <w:rPr>
          <w:rFonts w:asciiTheme="minorHAnsi" w:hAnsiTheme="minorHAnsi" w:eastAsiaTheme="minorEastAsia" w:cstheme="minorBidi"/>
          <w:kern w:val="2"/>
          <w:sz w:val="21"/>
        </w:rPr>
      </w:pPr>
      <w:r>
        <w:fldChar w:fldCharType="begin"/>
      </w:r>
      <w:r>
        <w:instrText xml:space="preserve"> HYPERLINK \l "_Toc60126002" </w:instrText>
      </w:r>
      <w:r>
        <w:fldChar w:fldCharType="separate"/>
      </w:r>
      <w:r>
        <w:rPr>
          <w:rStyle w:val="20"/>
          <w:rFonts w:ascii="仿宋_GB2312" w:eastAsia="仿宋_GB2312"/>
        </w:rPr>
        <w:t>§3  2021</w:t>
      </w:r>
      <w:r>
        <w:rPr>
          <w:rStyle w:val="20"/>
          <w:rFonts w:hint="eastAsia" w:ascii="仿宋_GB2312" w:eastAsia="仿宋_GB2312"/>
        </w:rPr>
        <w:t>年区本级政府性基金预算支出表</w:t>
      </w:r>
      <w:r>
        <w:tab/>
      </w:r>
      <w:r>
        <w:fldChar w:fldCharType="begin"/>
      </w:r>
      <w:r>
        <w:instrText xml:space="preserve"> PAGEREF _Toc60126002 \h </w:instrText>
      </w:r>
      <w:r>
        <w:fldChar w:fldCharType="separate"/>
      </w:r>
      <w:r>
        <w:t>18</w:t>
      </w:r>
      <w:r>
        <w:fldChar w:fldCharType="end"/>
      </w:r>
      <w:r>
        <w:fldChar w:fldCharType="end"/>
      </w:r>
    </w:p>
    <w:p>
      <w:pPr>
        <w:pStyle w:val="7"/>
        <w:tabs>
          <w:tab w:val="right" w:leader="dot" w:pos="8607"/>
        </w:tabs>
        <w:rPr>
          <w:rFonts w:asciiTheme="minorHAnsi" w:hAnsiTheme="minorHAnsi" w:eastAsiaTheme="minorEastAsia" w:cstheme="minorBidi"/>
          <w:kern w:val="2"/>
          <w:sz w:val="21"/>
        </w:rPr>
      </w:pPr>
      <w:r>
        <w:fldChar w:fldCharType="begin"/>
      </w:r>
      <w:r>
        <w:instrText xml:space="preserve"> HYPERLINK \l "_Toc60126003" </w:instrText>
      </w:r>
      <w:r>
        <w:fldChar w:fldCharType="separate"/>
      </w:r>
      <w:r>
        <w:rPr>
          <w:rStyle w:val="20"/>
          <w:rFonts w:ascii="仿宋_GB2312" w:eastAsia="仿宋_GB2312"/>
        </w:rPr>
        <w:t>§4  2021</w:t>
      </w:r>
      <w:r>
        <w:rPr>
          <w:rStyle w:val="20"/>
          <w:rFonts w:hint="eastAsia" w:ascii="仿宋_GB2312" w:eastAsia="仿宋_GB2312"/>
        </w:rPr>
        <w:t>年临港开发区政府债务情况</w:t>
      </w:r>
      <w:r>
        <w:tab/>
      </w:r>
      <w:r>
        <w:fldChar w:fldCharType="begin"/>
      </w:r>
      <w:r>
        <w:instrText xml:space="preserve"> PAGEREF _Toc60126003 \h </w:instrText>
      </w:r>
      <w:r>
        <w:fldChar w:fldCharType="separate"/>
      </w:r>
      <w:r>
        <w:t>19</w:t>
      </w:r>
      <w:r>
        <w:fldChar w:fldCharType="end"/>
      </w:r>
      <w:r>
        <w:fldChar w:fldCharType="end"/>
      </w:r>
    </w:p>
    <w:p>
      <w:pPr>
        <w:pStyle w:val="13"/>
        <w:tabs>
          <w:tab w:val="right" w:leader="dot" w:pos="8607"/>
        </w:tabs>
        <w:rPr>
          <w:rFonts w:asciiTheme="minorHAnsi" w:hAnsiTheme="minorHAnsi" w:eastAsiaTheme="minorEastAsia" w:cstheme="minorBidi"/>
          <w:kern w:val="2"/>
          <w:sz w:val="21"/>
        </w:rPr>
      </w:pPr>
      <w:r>
        <w:fldChar w:fldCharType="begin"/>
      </w:r>
      <w:r>
        <w:instrText xml:space="preserve"> HYPERLINK \l "_Toc60126004" </w:instrText>
      </w:r>
      <w:r>
        <w:fldChar w:fldCharType="separate"/>
      </w:r>
      <w:r>
        <w:rPr>
          <w:rStyle w:val="20"/>
          <w:rFonts w:hint="eastAsia" w:ascii="仿宋_GB2312" w:eastAsia="仿宋_GB2312"/>
        </w:rPr>
        <w:t>第四部分</w:t>
      </w:r>
      <w:r>
        <w:rPr>
          <w:rStyle w:val="20"/>
          <w:rFonts w:ascii="仿宋_GB2312" w:eastAsia="仿宋_GB2312"/>
        </w:rPr>
        <w:t xml:space="preserve">  2021</w:t>
      </w:r>
      <w:r>
        <w:rPr>
          <w:rStyle w:val="20"/>
          <w:rFonts w:hint="eastAsia" w:ascii="仿宋_GB2312" w:eastAsia="仿宋_GB2312"/>
        </w:rPr>
        <w:t>年沧州临港经济技术开发区社会保险基金预算（草案）</w:t>
      </w:r>
      <w:r>
        <w:tab/>
      </w:r>
      <w:r>
        <w:fldChar w:fldCharType="begin"/>
      </w:r>
      <w:r>
        <w:instrText xml:space="preserve"> PAGEREF _Toc60126004 \h </w:instrText>
      </w:r>
      <w:r>
        <w:fldChar w:fldCharType="separate"/>
      </w:r>
      <w:r>
        <w:t>20</w:t>
      </w:r>
      <w:r>
        <w:fldChar w:fldCharType="end"/>
      </w:r>
      <w:r>
        <w:fldChar w:fldCharType="end"/>
      </w:r>
    </w:p>
    <w:p>
      <w:pPr>
        <w:pStyle w:val="7"/>
        <w:tabs>
          <w:tab w:val="right" w:leader="dot" w:pos="8607"/>
        </w:tabs>
        <w:rPr>
          <w:rFonts w:asciiTheme="minorHAnsi" w:hAnsiTheme="minorHAnsi" w:eastAsiaTheme="minorEastAsia" w:cstheme="minorBidi"/>
          <w:kern w:val="2"/>
          <w:sz w:val="21"/>
        </w:rPr>
      </w:pPr>
      <w:r>
        <w:fldChar w:fldCharType="begin"/>
      </w:r>
      <w:r>
        <w:instrText xml:space="preserve"> HYPERLINK \l "_Toc60126005" </w:instrText>
      </w:r>
      <w:r>
        <w:fldChar w:fldCharType="separate"/>
      </w:r>
      <w:r>
        <w:rPr>
          <w:rStyle w:val="20"/>
          <w:rFonts w:ascii="仿宋_GB2312" w:eastAsia="仿宋_GB2312"/>
        </w:rPr>
        <w:t>§1  2021</w:t>
      </w:r>
      <w:r>
        <w:rPr>
          <w:rStyle w:val="20"/>
          <w:rFonts w:hint="eastAsia" w:ascii="仿宋_GB2312" w:eastAsia="仿宋_GB2312"/>
        </w:rPr>
        <w:t>年社会保险基金收支安排情况</w:t>
      </w:r>
      <w:r>
        <w:tab/>
      </w:r>
      <w:r>
        <w:fldChar w:fldCharType="begin"/>
      </w:r>
      <w:r>
        <w:instrText xml:space="preserve"> PAGEREF _Toc60126005 \h </w:instrText>
      </w:r>
      <w:r>
        <w:fldChar w:fldCharType="separate"/>
      </w:r>
      <w:r>
        <w:t>20</w:t>
      </w:r>
      <w:r>
        <w:fldChar w:fldCharType="end"/>
      </w:r>
      <w:r>
        <w:fldChar w:fldCharType="end"/>
      </w:r>
    </w:p>
    <w:p>
      <w:pPr>
        <w:pStyle w:val="7"/>
        <w:tabs>
          <w:tab w:val="right" w:leader="dot" w:pos="8607"/>
        </w:tabs>
        <w:rPr>
          <w:rFonts w:asciiTheme="minorHAnsi" w:hAnsiTheme="minorHAnsi" w:eastAsiaTheme="minorEastAsia" w:cstheme="minorBidi"/>
          <w:kern w:val="2"/>
          <w:sz w:val="21"/>
        </w:rPr>
      </w:pPr>
      <w:r>
        <w:fldChar w:fldCharType="begin"/>
      </w:r>
      <w:r>
        <w:instrText xml:space="preserve"> HYPERLINK \l "_Toc60126006" </w:instrText>
      </w:r>
      <w:r>
        <w:fldChar w:fldCharType="separate"/>
      </w:r>
      <w:r>
        <w:rPr>
          <w:rStyle w:val="20"/>
          <w:rFonts w:ascii="仿宋_GB2312" w:eastAsia="仿宋_GB2312"/>
        </w:rPr>
        <w:t>§2  2021</w:t>
      </w:r>
      <w:r>
        <w:rPr>
          <w:rStyle w:val="20"/>
          <w:rFonts w:hint="eastAsia" w:ascii="仿宋_GB2312" w:eastAsia="仿宋_GB2312"/>
        </w:rPr>
        <w:t>年区本级社会保险基金预算收支平衡表</w:t>
      </w:r>
      <w:r>
        <w:tab/>
      </w:r>
      <w:r>
        <w:fldChar w:fldCharType="begin"/>
      </w:r>
      <w:r>
        <w:instrText xml:space="preserve"> PAGEREF _Toc60126006 \h </w:instrText>
      </w:r>
      <w:r>
        <w:fldChar w:fldCharType="separate"/>
      </w:r>
      <w:r>
        <w:t>22</w:t>
      </w:r>
      <w:r>
        <w:fldChar w:fldCharType="end"/>
      </w:r>
      <w:r>
        <w:fldChar w:fldCharType="end"/>
      </w:r>
    </w:p>
    <w:p>
      <w:pPr>
        <w:pStyle w:val="7"/>
        <w:tabs>
          <w:tab w:val="right" w:leader="dot" w:pos="8607"/>
        </w:tabs>
        <w:rPr>
          <w:rFonts w:asciiTheme="minorHAnsi" w:hAnsiTheme="minorHAnsi" w:eastAsiaTheme="minorEastAsia" w:cstheme="minorBidi"/>
          <w:kern w:val="2"/>
          <w:sz w:val="21"/>
        </w:rPr>
      </w:pPr>
      <w:r>
        <w:fldChar w:fldCharType="begin"/>
      </w:r>
      <w:r>
        <w:instrText xml:space="preserve"> HYPERLINK \l "_Toc60126007" </w:instrText>
      </w:r>
      <w:r>
        <w:fldChar w:fldCharType="separate"/>
      </w:r>
      <w:r>
        <w:rPr>
          <w:rStyle w:val="20"/>
          <w:rFonts w:ascii="仿宋_GB2312" w:eastAsia="仿宋_GB2312"/>
        </w:rPr>
        <w:t>§3  2021</w:t>
      </w:r>
      <w:r>
        <w:rPr>
          <w:rStyle w:val="20"/>
          <w:rFonts w:hint="eastAsia" w:ascii="仿宋_GB2312" w:eastAsia="仿宋_GB2312"/>
        </w:rPr>
        <w:t>年区本级社会保险基金收入预算表</w:t>
      </w:r>
      <w:r>
        <w:tab/>
      </w:r>
      <w:r>
        <w:fldChar w:fldCharType="begin"/>
      </w:r>
      <w:r>
        <w:instrText xml:space="preserve"> PAGEREF _Toc60126007 \h </w:instrText>
      </w:r>
      <w:r>
        <w:fldChar w:fldCharType="separate"/>
      </w:r>
      <w:r>
        <w:t>23</w:t>
      </w:r>
      <w:r>
        <w:fldChar w:fldCharType="end"/>
      </w:r>
      <w:r>
        <w:fldChar w:fldCharType="end"/>
      </w:r>
    </w:p>
    <w:p>
      <w:pPr>
        <w:pStyle w:val="7"/>
        <w:tabs>
          <w:tab w:val="right" w:leader="dot" w:pos="8607"/>
        </w:tabs>
        <w:rPr>
          <w:rFonts w:asciiTheme="minorHAnsi" w:hAnsiTheme="minorHAnsi" w:eastAsiaTheme="minorEastAsia" w:cstheme="minorBidi"/>
          <w:kern w:val="2"/>
          <w:sz w:val="21"/>
        </w:rPr>
      </w:pPr>
      <w:r>
        <w:fldChar w:fldCharType="begin"/>
      </w:r>
      <w:r>
        <w:instrText xml:space="preserve"> HYPERLINK \l "_Toc60126008" </w:instrText>
      </w:r>
      <w:r>
        <w:fldChar w:fldCharType="separate"/>
      </w:r>
      <w:r>
        <w:rPr>
          <w:rStyle w:val="20"/>
          <w:rFonts w:ascii="仿宋_GB2312" w:eastAsia="仿宋_GB2312"/>
        </w:rPr>
        <w:t>§4  2021</w:t>
      </w:r>
      <w:r>
        <w:rPr>
          <w:rStyle w:val="20"/>
          <w:rFonts w:hint="eastAsia" w:ascii="仿宋_GB2312" w:eastAsia="仿宋_GB2312"/>
        </w:rPr>
        <w:t>年区本级社会保险基金支出预算表</w:t>
      </w:r>
      <w:r>
        <w:tab/>
      </w:r>
      <w:r>
        <w:fldChar w:fldCharType="begin"/>
      </w:r>
      <w:r>
        <w:instrText xml:space="preserve"> PAGEREF _Toc60126008 \h </w:instrText>
      </w:r>
      <w:r>
        <w:fldChar w:fldCharType="separate"/>
      </w:r>
      <w:r>
        <w:t>24</w:t>
      </w:r>
      <w:r>
        <w:fldChar w:fldCharType="end"/>
      </w:r>
      <w:r>
        <w:fldChar w:fldCharType="end"/>
      </w:r>
    </w:p>
    <w:p>
      <w:pPr>
        <w:pStyle w:val="13"/>
        <w:tabs>
          <w:tab w:val="right" w:leader="dot" w:pos="8607"/>
        </w:tabs>
        <w:rPr>
          <w:rFonts w:asciiTheme="minorHAnsi" w:hAnsiTheme="minorHAnsi" w:eastAsiaTheme="minorEastAsia" w:cstheme="minorBidi"/>
          <w:kern w:val="2"/>
          <w:sz w:val="21"/>
        </w:rPr>
      </w:pPr>
      <w:r>
        <w:fldChar w:fldCharType="begin"/>
      </w:r>
      <w:r>
        <w:instrText xml:space="preserve"> HYPERLINK \l "_Toc60126009" </w:instrText>
      </w:r>
      <w:r>
        <w:fldChar w:fldCharType="separate"/>
      </w:r>
      <w:r>
        <w:rPr>
          <w:rStyle w:val="20"/>
          <w:rFonts w:hint="eastAsia" w:ascii="仿宋_GB2312" w:eastAsia="仿宋_GB2312"/>
        </w:rPr>
        <w:t>第五部分</w:t>
      </w:r>
      <w:r>
        <w:rPr>
          <w:rStyle w:val="20"/>
          <w:rFonts w:ascii="仿宋_GB2312" w:eastAsia="仿宋_GB2312"/>
        </w:rPr>
        <w:t xml:space="preserve">  2021</w:t>
      </w:r>
      <w:r>
        <w:rPr>
          <w:rStyle w:val="20"/>
          <w:rFonts w:hint="eastAsia" w:ascii="仿宋_GB2312" w:eastAsia="仿宋_GB2312"/>
        </w:rPr>
        <w:t>年沧州临港经济技术开发区国有资本经营预算（草案）</w:t>
      </w:r>
      <w:r>
        <w:tab/>
      </w:r>
      <w:r>
        <w:fldChar w:fldCharType="begin"/>
      </w:r>
      <w:r>
        <w:instrText xml:space="preserve"> PAGEREF _Toc60126009 \h </w:instrText>
      </w:r>
      <w:r>
        <w:fldChar w:fldCharType="separate"/>
      </w:r>
      <w:r>
        <w:t>25</w:t>
      </w:r>
      <w:r>
        <w:fldChar w:fldCharType="end"/>
      </w:r>
      <w:r>
        <w:fldChar w:fldCharType="end"/>
      </w:r>
    </w:p>
    <w:p>
      <w:pPr>
        <w:pStyle w:val="7"/>
        <w:tabs>
          <w:tab w:val="right" w:leader="dot" w:pos="8607"/>
        </w:tabs>
        <w:rPr>
          <w:rFonts w:asciiTheme="minorHAnsi" w:hAnsiTheme="minorHAnsi" w:eastAsiaTheme="minorEastAsia" w:cstheme="minorBidi"/>
          <w:kern w:val="2"/>
          <w:sz w:val="21"/>
        </w:rPr>
      </w:pPr>
      <w:r>
        <w:fldChar w:fldCharType="begin"/>
      </w:r>
      <w:r>
        <w:instrText xml:space="preserve"> HYPERLINK \l "_Toc60126010" </w:instrText>
      </w:r>
      <w:r>
        <w:fldChar w:fldCharType="separate"/>
      </w:r>
      <w:r>
        <w:rPr>
          <w:rStyle w:val="20"/>
          <w:rFonts w:ascii="仿宋_GB2312" w:eastAsia="仿宋_GB2312"/>
        </w:rPr>
        <w:t>§1  2021</w:t>
      </w:r>
      <w:r>
        <w:rPr>
          <w:rStyle w:val="20"/>
          <w:rFonts w:hint="eastAsia" w:ascii="仿宋_GB2312" w:eastAsia="仿宋_GB2312"/>
        </w:rPr>
        <w:t>年国有资本经营收支安排情况</w:t>
      </w:r>
      <w:r>
        <w:tab/>
      </w:r>
      <w:r>
        <w:fldChar w:fldCharType="begin"/>
      </w:r>
      <w:r>
        <w:instrText xml:space="preserve"> PAGEREF _Toc60126010 \h </w:instrText>
      </w:r>
      <w:r>
        <w:fldChar w:fldCharType="separate"/>
      </w:r>
      <w:r>
        <w:t>25</w:t>
      </w:r>
      <w:r>
        <w:fldChar w:fldCharType="end"/>
      </w:r>
      <w:r>
        <w:fldChar w:fldCharType="end"/>
      </w:r>
    </w:p>
    <w:p>
      <w:pPr>
        <w:pStyle w:val="7"/>
        <w:tabs>
          <w:tab w:val="right" w:leader="dot" w:pos="8607"/>
        </w:tabs>
        <w:rPr>
          <w:rFonts w:asciiTheme="minorHAnsi" w:hAnsiTheme="minorHAnsi" w:eastAsiaTheme="minorEastAsia" w:cstheme="minorBidi"/>
          <w:kern w:val="2"/>
          <w:sz w:val="21"/>
        </w:rPr>
      </w:pPr>
      <w:r>
        <w:fldChar w:fldCharType="begin"/>
      </w:r>
      <w:r>
        <w:instrText xml:space="preserve"> HYPERLINK \l "_Toc60126011" </w:instrText>
      </w:r>
      <w:r>
        <w:fldChar w:fldCharType="separate"/>
      </w:r>
      <w:r>
        <w:rPr>
          <w:rStyle w:val="20"/>
          <w:rFonts w:ascii="仿宋_GB2312" w:eastAsia="仿宋_GB2312"/>
        </w:rPr>
        <w:t xml:space="preserve">§2 </w:t>
      </w:r>
      <w:r>
        <w:rPr>
          <w:rStyle w:val="20"/>
          <w:rFonts w:hint="eastAsia" w:ascii="仿宋_GB2312" w:eastAsia="仿宋_GB2312"/>
        </w:rPr>
        <w:t>区属企业基本情况表</w:t>
      </w:r>
      <w:r>
        <w:tab/>
      </w:r>
      <w:r>
        <w:fldChar w:fldCharType="begin"/>
      </w:r>
      <w:r>
        <w:instrText xml:space="preserve"> PAGEREF _Toc60126011 \h </w:instrText>
      </w:r>
      <w:r>
        <w:fldChar w:fldCharType="separate"/>
      </w:r>
      <w:r>
        <w:t>26</w:t>
      </w:r>
      <w:r>
        <w:fldChar w:fldCharType="end"/>
      </w:r>
      <w:r>
        <w:fldChar w:fldCharType="end"/>
      </w:r>
    </w:p>
    <w:p>
      <w:pPr>
        <w:rPr>
          <w:rFonts w:ascii="仿宋_GB2312" w:eastAsia="仿宋_GB2312"/>
          <w:color w:val="000000" w:themeColor="text1"/>
          <w:sz w:val="27"/>
          <w:szCs w:val="27"/>
        </w:rPr>
        <w:sectPr>
          <w:pgSz w:w="11906" w:h="16838"/>
          <w:pgMar w:top="1440" w:right="1701" w:bottom="1440" w:left="1588" w:header="709" w:footer="709" w:gutter="0"/>
          <w:pgNumType w:start="0"/>
          <w:cols w:space="708" w:num="1"/>
          <w:titlePg/>
          <w:docGrid w:type="lines" w:linePitch="360" w:charSpace="0"/>
        </w:sectPr>
      </w:pPr>
      <w:r>
        <w:rPr>
          <w:rFonts w:hint="eastAsia" w:ascii="仿宋_GB2312" w:eastAsia="仿宋_GB2312"/>
          <w:color w:val="000000" w:themeColor="text1"/>
          <w:sz w:val="24"/>
        </w:rPr>
        <w:fldChar w:fldCharType="end"/>
      </w:r>
    </w:p>
    <w:p>
      <w:pPr>
        <w:pStyle w:val="2"/>
        <w:jc w:val="center"/>
        <w:rPr>
          <w:rFonts w:ascii="黑体" w:eastAsia="黑体"/>
          <w:b w:val="0"/>
          <w:color w:val="000000" w:themeColor="text1"/>
          <w:sz w:val="35"/>
          <w:szCs w:val="35"/>
        </w:rPr>
      </w:pPr>
      <w:bookmarkStart w:id="0" w:name="_Toc500947587"/>
      <w:bookmarkStart w:id="1" w:name="_Toc60125988"/>
      <w:r>
        <w:rPr>
          <w:rFonts w:hint="eastAsia" w:ascii="仿宋_GB2312" w:hAnsi="宋体" w:eastAsia="仿宋_GB2312"/>
          <w:color w:val="000000" w:themeColor="text1"/>
          <w:sz w:val="35"/>
          <w:szCs w:val="35"/>
        </w:rPr>
        <w:t>2021年沧州临港经济技术开发区财政预算（草案）</w:t>
      </w:r>
      <w:bookmarkEnd w:id="0"/>
      <w:bookmarkEnd w:id="1"/>
    </w:p>
    <w:p>
      <w:pPr>
        <w:pStyle w:val="3"/>
        <w:jc w:val="center"/>
        <w:rPr>
          <w:rFonts w:ascii="仿宋_GB2312" w:hAnsi="宋体" w:eastAsia="仿宋_GB2312"/>
          <w:b w:val="0"/>
          <w:color w:val="000000" w:themeColor="text1"/>
        </w:rPr>
      </w:pPr>
      <w:bookmarkStart w:id="2" w:name="_Toc60125989"/>
      <w:bookmarkStart w:id="3" w:name="_Toc500947588"/>
      <w:r>
        <w:rPr>
          <w:rFonts w:hint="eastAsia" w:ascii="仿宋_GB2312" w:hAnsi="宋体" w:eastAsia="仿宋_GB2312"/>
          <w:color w:val="000000" w:themeColor="text1"/>
        </w:rPr>
        <w:t>第一部分</w:t>
      </w:r>
      <w:r>
        <w:rPr>
          <w:rFonts w:ascii="仿宋_GB2312" w:hAnsi="宋体" w:eastAsia="仿宋_GB2312"/>
          <w:color w:val="000000" w:themeColor="text1"/>
        </w:rPr>
        <w:t xml:space="preserve">  </w:t>
      </w:r>
      <w:r>
        <w:rPr>
          <w:rFonts w:hint="eastAsia" w:ascii="仿宋_GB2312" w:hAnsi="宋体" w:eastAsia="仿宋_GB2312"/>
          <w:color w:val="000000" w:themeColor="text1"/>
        </w:rPr>
        <w:t>2021年财政形势及预算编制总体纲要</w:t>
      </w:r>
      <w:bookmarkEnd w:id="2"/>
      <w:bookmarkEnd w:id="3"/>
    </w:p>
    <w:p>
      <w:pPr>
        <w:pStyle w:val="4"/>
        <w:jc w:val="center"/>
        <w:rPr>
          <w:rFonts w:ascii="仿宋_GB2312" w:eastAsia="仿宋_GB2312"/>
          <w:b w:val="0"/>
          <w:color w:val="000000" w:themeColor="text1"/>
        </w:rPr>
      </w:pPr>
      <w:bookmarkStart w:id="4" w:name="_Toc60125990"/>
      <w:bookmarkStart w:id="5" w:name="_Toc500947589"/>
      <w:r>
        <w:rPr>
          <w:rFonts w:hint="eastAsia" w:ascii="仿宋_GB2312" w:eastAsia="仿宋_GB2312"/>
          <w:color w:val="000000" w:themeColor="text1"/>
        </w:rPr>
        <w:t>§</w:t>
      </w:r>
      <w:r>
        <w:rPr>
          <w:rFonts w:ascii="仿宋_GB2312" w:eastAsia="仿宋_GB2312"/>
          <w:color w:val="000000" w:themeColor="text1"/>
        </w:rPr>
        <w:t xml:space="preserve">1  </w:t>
      </w:r>
      <w:r>
        <w:rPr>
          <w:rFonts w:hint="eastAsia" w:ascii="仿宋_GB2312" w:eastAsia="仿宋_GB2312"/>
          <w:color w:val="000000" w:themeColor="text1"/>
        </w:rPr>
        <w:t>财政经济形势及经济社会发展主要预期目标</w:t>
      </w:r>
      <w:bookmarkEnd w:id="4"/>
      <w:bookmarkEnd w:id="5"/>
    </w:p>
    <w:p>
      <w:pPr>
        <w:ind w:firstLine="602" w:firstLineChars="200"/>
        <w:rPr>
          <w:rFonts w:ascii="仿宋_GB2312" w:eastAsia="仿宋_GB2312"/>
          <w:b/>
          <w:color w:val="000000" w:themeColor="text1"/>
          <w:sz w:val="30"/>
          <w:szCs w:val="30"/>
        </w:rPr>
      </w:pPr>
      <w:r>
        <w:rPr>
          <w:rFonts w:hint="eastAsia" w:ascii="仿宋_GB2312" w:eastAsia="仿宋_GB2312"/>
          <w:b/>
          <w:color w:val="000000" w:themeColor="text1"/>
          <w:sz w:val="30"/>
          <w:szCs w:val="30"/>
        </w:rPr>
        <w:t>一、财政经济形势</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在沧州市委、市政府，渤海新区党工委、管委会，临港开发区党工委、管委会的正确领导下，临港开发区上下抗击疫情、改革创新、稳中求进，全年预算执行情况良好，“减税降费”工作成绩斐然，</w:t>
      </w:r>
      <w:r>
        <w:rPr>
          <w:rFonts w:ascii="仿宋_GB2312" w:eastAsia="仿宋_GB2312"/>
          <w:color w:val="000000" w:themeColor="text1"/>
          <w:sz w:val="30"/>
          <w:szCs w:val="30"/>
        </w:rPr>
        <w:t>20</w:t>
      </w:r>
      <w:r>
        <w:rPr>
          <w:rFonts w:hint="eastAsia" w:ascii="仿宋_GB2312" w:eastAsia="仿宋_GB2312"/>
          <w:color w:val="000000" w:themeColor="text1"/>
          <w:sz w:val="30"/>
          <w:szCs w:val="30"/>
        </w:rPr>
        <w:t>20年我区一般公共预算收入完成5.8亿元。</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2021年是实施“十四五”规划的开局之年，我区深入贯彻党的十九届五中全会、省委九届十一次全会，市委九届九次、十次全会精神，严格按照“严细深实快”作风教育要求，坚持高质量发展理念，坚持以供给侧结构性改革为主线，发扬多干少说、善</w:t>
      </w:r>
      <w:r>
        <w:rPr>
          <w:rFonts w:hint="eastAsia" w:ascii="仿宋_GB2312" w:eastAsia="仿宋_GB2312"/>
          <w:color w:val="000000" w:themeColor="text1"/>
          <w:sz w:val="30"/>
          <w:szCs w:val="30"/>
          <w:lang w:eastAsia="zh-CN"/>
        </w:rPr>
        <w:t>作</w:t>
      </w:r>
      <w:bookmarkStart w:id="45" w:name="_GoBack"/>
      <w:bookmarkEnd w:id="45"/>
      <w:r>
        <w:rPr>
          <w:rFonts w:hint="eastAsia" w:ascii="仿宋_GB2312" w:eastAsia="仿宋_GB2312"/>
          <w:color w:val="000000" w:themeColor="text1"/>
          <w:sz w:val="30"/>
          <w:szCs w:val="30"/>
        </w:rPr>
        <w:t>善成的优良作风，主动抢抓京津冀协同发展、环渤海合作发展、“一带一路”开放发展、河北沿海率先发展重大机遇，全面实施产业集群化、环境生态化主体战略，扎实推进率先发展、转型发展、创新发展、协调发展、绿色发展、开放发展、共享发展。</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2021年我区一般公共财政预算收入预计完成6.38亿元，预计增长10</w:t>
      </w:r>
      <w:r>
        <w:rPr>
          <w:rFonts w:ascii="仿宋_GB2312" w:eastAsia="仿宋_GB2312"/>
          <w:color w:val="000000" w:themeColor="text1"/>
          <w:sz w:val="30"/>
          <w:szCs w:val="30"/>
        </w:rPr>
        <w:t>%</w:t>
      </w:r>
      <w:r>
        <w:rPr>
          <w:rFonts w:hint="eastAsia" w:ascii="仿宋_GB2312" w:eastAsia="仿宋_GB2312"/>
          <w:color w:val="000000" w:themeColor="text1"/>
          <w:sz w:val="30"/>
          <w:szCs w:val="30"/>
        </w:rPr>
        <w:t>。</w:t>
      </w:r>
    </w:p>
    <w:p>
      <w:pPr>
        <w:ind w:firstLine="602" w:firstLineChars="200"/>
        <w:rPr>
          <w:rFonts w:ascii="仿宋_GB2312" w:eastAsia="仿宋_GB2312"/>
          <w:b/>
          <w:color w:val="000000" w:themeColor="text1"/>
          <w:sz w:val="30"/>
          <w:szCs w:val="30"/>
        </w:rPr>
      </w:pPr>
      <w:r>
        <w:rPr>
          <w:rFonts w:hint="eastAsia" w:ascii="仿宋_GB2312" w:eastAsia="仿宋_GB2312"/>
          <w:b/>
          <w:color w:val="000000" w:themeColor="text1"/>
          <w:sz w:val="30"/>
          <w:szCs w:val="30"/>
        </w:rPr>
        <w:t>二、经济社会发展主要预期目标</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2021年财政预算紧紧围绕实现全区经济社会发展主要预期目标进行安排，经济社会发展主要目标为：</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（一）地区生产总值增长10</w:t>
      </w:r>
      <w:r>
        <w:rPr>
          <w:rFonts w:ascii="仿宋_GB2312" w:eastAsia="仿宋_GB2312"/>
          <w:color w:val="000000" w:themeColor="text1"/>
          <w:sz w:val="30"/>
          <w:szCs w:val="30"/>
        </w:rPr>
        <w:t>%</w:t>
      </w:r>
      <w:r>
        <w:rPr>
          <w:rFonts w:hint="eastAsia" w:ascii="仿宋_GB2312" w:eastAsia="仿宋_GB2312"/>
          <w:color w:val="000000" w:themeColor="text1"/>
          <w:sz w:val="30"/>
          <w:szCs w:val="30"/>
        </w:rPr>
        <w:t>。</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（二）一般公共财政预算收入增长10</w:t>
      </w:r>
      <w:r>
        <w:rPr>
          <w:rFonts w:ascii="仿宋_GB2312" w:eastAsia="仿宋_GB2312"/>
          <w:color w:val="000000" w:themeColor="text1"/>
          <w:sz w:val="30"/>
          <w:szCs w:val="30"/>
        </w:rPr>
        <w:t>%</w:t>
      </w:r>
      <w:r>
        <w:rPr>
          <w:rFonts w:hint="eastAsia" w:ascii="仿宋_GB2312" w:eastAsia="仿宋_GB2312"/>
          <w:color w:val="000000" w:themeColor="text1"/>
          <w:sz w:val="30"/>
          <w:szCs w:val="30"/>
        </w:rPr>
        <w:t>。</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（三）固定资产投资增长5</w:t>
      </w:r>
      <w:r>
        <w:rPr>
          <w:rFonts w:ascii="仿宋_GB2312" w:eastAsia="仿宋_GB2312"/>
          <w:color w:val="000000" w:themeColor="text1"/>
          <w:sz w:val="30"/>
          <w:szCs w:val="30"/>
        </w:rPr>
        <w:t>%</w:t>
      </w:r>
      <w:r>
        <w:rPr>
          <w:rFonts w:hint="eastAsia" w:ascii="仿宋_GB2312" w:eastAsia="仿宋_GB2312"/>
          <w:color w:val="000000" w:themeColor="text1"/>
          <w:sz w:val="30"/>
          <w:szCs w:val="30"/>
        </w:rPr>
        <w:t>。</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（四）规模以上工业增加值增长10%。</w:t>
      </w: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pStyle w:val="4"/>
        <w:jc w:val="center"/>
        <w:rPr>
          <w:rFonts w:ascii="仿宋_GB2312" w:eastAsia="仿宋_GB2312"/>
          <w:color w:val="000000" w:themeColor="text1"/>
        </w:rPr>
      </w:pPr>
      <w:bookmarkStart w:id="6" w:name="_Toc500947590"/>
      <w:bookmarkStart w:id="7" w:name="_Toc60125991"/>
      <w:r>
        <w:rPr>
          <w:rFonts w:hint="eastAsia" w:ascii="仿宋_GB2312" w:eastAsia="仿宋_GB2312"/>
          <w:color w:val="000000" w:themeColor="text1"/>
        </w:rPr>
        <w:t>§</w:t>
      </w:r>
      <w:r>
        <w:rPr>
          <w:rFonts w:ascii="仿宋_GB2312" w:eastAsia="仿宋_GB2312"/>
          <w:color w:val="000000" w:themeColor="text1"/>
        </w:rPr>
        <w:t xml:space="preserve">2  </w:t>
      </w:r>
      <w:r>
        <w:rPr>
          <w:rFonts w:hint="eastAsia" w:ascii="仿宋_GB2312" w:eastAsia="仿宋_GB2312"/>
          <w:color w:val="000000" w:themeColor="text1"/>
        </w:rPr>
        <w:t>预算编制的指导思想和编制原则</w:t>
      </w:r>
      <w:bookmarkEnd w:id="6"/>
      <w:bookmarkEnd w:id="7"/>
    </w:p>
    <w:p>
      <w:pPr>
        <w:ind w:firstLine="602" w:firstLineChars="200"/>
        <w:rPr>
          <w:rFonts w:ascii="仿宋_GB2312" w:eastAsia="仿宋_GB2312"/>
          <w:b/>
          <w:color w:val="000000" w:themeColor="text1"/>
          <w:sz w:val="30"/>
          <w:szCs w:val="30"/>
        </w:rPr>
      </w:pPr>
      <w:r>
        <w:rPr>
          <w:rFonts w:hint="eastAsia" w:ascii="仿宋_GB2312" w:eastAsia="仿宋_GB2312"/>
          <w:b/>
          <w:color w:val="000000" w:themeColor="text1"/>
          <w:sz w:val="30"/>
          <w:szCs w:val="30"/>
        </w:rPr>
        <w:t>一、预算编制的指导思想和编制原则</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2021年全区预算安排的指导思想和遵循的原则是：牢固树立“率先、创新、转型、协调、绿色、开放、共享”的发展理念，认真贯彻党的十九届五中全会、省委九届十一次全会，市委九届九次、十次全会精神、渤海新区党工委会议等一系列会议精神，认真落实《预算法》，积极应对经济新常态下财政领域的趋势性变化，全面落实稳增长、调结构、惠民生、促改革的各项财税政策措施，促进经济转型升级；完善政府预算体系，健全财政资金统筹使用机制；优化财政支出结构，优先保障民生、重大政策落实和重点项目支出需要，努力为全区经济社会更好更快发展提供有力支撑。</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根据上述预算编制指导思想，2021年区级预算编制要坚持以下原则：</w:t>
      </w:r>
    </w:p>
    <w:p>
      <w:pPr>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（一）</w:t>
      </w:r>
      <w:r>
        <w:rPr>
          <w:rFonts w:ascii="仿宋_GB2312" w:eastAsia="仿宋_GB2312"/>
          <w:b/>
          <w:color w:val="000000" w:themeColor="text1"/>
          <w:sz w:val="30"/>
          <w:szCs w:val="30"/>
        </w:rPr>
        <w:t xml:space="preserve"> </w:t>
      </w:r>
      <w:r>
        <w:rPr>
          <w:rFonts w:hint="eastAsia" w:ascii="仿宋_GB2312" w:eastAsia="仿宋_GB2312"/>
          <w:b/>
          <w:color w:val="000000" w:themeColor="text1"/>
          <w:sz w:val="30"/>
          <w:szCs w:val="30"/>
        </w:rPr>
        <w:t>深化改革。</w:t>
      </w:r>
      <w:r>
        <w:rPr>
          <w:rFonts w:hint="eastAsia" w:ascii="仿宋_GB2312" w:eastAsia="仿宋_GB2312"/>
          <w:color w:val="000000" w:themeColor="text1"/>
          <w:sz w:val="30"/>
          <w:szCs w:val="30"/>
        </w:rPr>
        <w:t>深入贯彻落实中央、省、市有关政府预算体系、预算管理制度及绩效预算管理改革的要求，以改革纾解矛盾、释放红利，适应经济发展新常态。</w:t>
      </w:r>
    </w:p>
    <w:p>
      <w:pPr>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（二）依法理财。</w:t>
      </w:r>
      <w:r>
        <w:rPr>
          <w:rFonts w:hint="eastAsia" w:ascii="仿宋_GB2312" w:eastAsia="仿宋_GB2312"/>
          <w:color w:val="000000" w:themeColor="text1"/>
          <w:sz w:val="30"/>
          <w:szCs w:val="30"/>
        </w:rPr>
        <w:t>全面落实《</w:t>
      </w:r>
      <w:r>
        <w:rPr>
          <w:rFonts w:hint="eastAsia" w:ascii="仿宋_GB2312" w:eastAsia="仿宋_GB2312"/>
          <w:color w:val="000000" w:themeColor="text1"/>
          <w:sz w:val="30"/>
          <w:szCs w:val="30"/>
          <w:lang w:eastAsia="zh-CN"/>
        </w:rPr>
        <w:t>中华人民共和国</w:t>
      </w:r>
      <w:r>
        <w:rPr>
          <w:rFonts w:hint="eastAsia" w:ascii="仿宋_GB2312" w:eastAsia="仿宋_GB2312"/>
          <w:color w:val="000000" w:themeColor="text1"/>
          <w:sz w:val="30"/>
          <w:szCs w:val="30"/>
        </w:rPr>
        <w:t>预算法》等法律法规，改进预算编审程序，细化项目编制，硬化预算约束，推进预算公开，建立全面规范、公开透明的预算制度。</w:t>
      </w:r>
    </w:p>
    <w:p>
      <w:pPr>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（三）绩效导向。</w:t>
      </w:r>
      <w:r>
        <w:rPr>
          <w:rFonts w:hint="eastAsia" w:ascii="仿宋_GB2312" w:eastAsia="仿宋_GB2312"/>
          <w:color w:val="000000" w:themeColor="text1"/>
          <w:sz w:val="30"/>
          <w:szCs w:val="30"/>
        </w:rPr>
        <w:t>深化部门绩效预算改革，将绩效管理理念和方法融入预算编制全过程。</w:t>
      </w:r>
      <w:r>
        <w:rPr>
          <w:rFonts w:ascii="仿宋_GB2312" w:eastAsia="仿宋_GB2312"/>
          <w:color w:val="000000" w:themeColor="text1"/>
          <w:sz w:val="30"/>
          <w:szCs w:val="30"/>
        </w:rPr>
        <w:t xml:space="preserve">                                   </w:t>
      </w:r>
    </w:p>
    <w:p>
      <w:pPr>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（四）整合财力。</w:t>
      </w:r>
      <w:r>
        <w:rPr>
          <w:rFonts w:hint="eastAsia" w:ascii="仿宋_GB2312" w:eastAsia="仿宋_GB2312"/>
          <w:color w:val="000000" w:themeColor="text1"/>
          <w:sz w:val="30"/>
          <w:szCs w:val="30"/>
        </w:rPr>
        <w:t>整合各种可用资金，避免资金使用“碎片化”，盘活各领域财政沉淀资金，化零为整，统筹使用，增加资金有效供给，提高资金配置效率。</w:t>
      </w:r>
    </w:p>
    <w:p>
      <w:pPr>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（五）统筹兼顾。</w:t>
      </w:r>
      <w:r>
        <w:rPr>
          <w:rFonts w:hint="eastAsia" w:ascii="仿宋_GB2312" w:eastAsia="仿宋_GB2312"/>
          <w:color w:val="000000" w:themeColor="text1"/>
          <w:sz w:val="30"/>
          <w:szCs w:val="30"/>
        </w:rPr>
        <w:t>全面保障民生，抗击疫情，支持重点领域、重点产业发展，同时坚持厉行节约，严格控制一般性支出。</w:t>
      </w:r>
    </w:p>
    <w:p>
      <w:pPr>
        <w:ind w:firstLine="600" w:firstLineChars="200"/>
        <w:rPr>
          <w:rFonts w:ascii="仿宋_GB2312" w:eastAsia="仿宋_GB2312"/>
          <w:color w:val="000000" w:themeColor="text1"/>
          <w:sz w:val="30"/>
          <w:szCs w:val="30"/>
        </w:rPr>
      </w:pPr>
    </w:p>
    <w:p>
      <w:pPr>
        <w:ind w:firstLine="600" w:firstLineChars="200"/>
        <w:rPr>
          <w:rFonts w:ascii="仿宋_GB2312" w:eastAsia="仿宋_GB2312"/>
          <w:color w:val="000000" w:themeColor="text1"/>
          <w:sz w:val="30"/>
          <w:szCs w:val="30"/>
        </w:rPr>
      </w:pPr>
    </w:p>
    <w:p>
      <w:pPr>
        <w:ind w:firstLine="600" w:firstLineChars="200"/>
        <w:rPr>
          <w:rFonts w:ascii="仿宋_GB2312" w:eastAsia="仿宋_GB2312"/>
          <w:color w:val="000000" w:themeColor="text1"/>
          <w:sz w:val="30"/>
          <w:szCs w:val="30"/>
        </w:rPr>
      </w:pPr>
    </w:p>
    <w:p>
      <w:pPr>
        <w:ind w:firstLine="600" w:firstLineChars="200"/>
        <w:rPr>
          <w:rFonts w:ascii="仿宋_GB2312" w:eastAsia="仿宋_GB2312"/>
          <w:color w:val="000000" w:themeColor="text1"/>
          <w:sz w:val="30"/>
          <w:szCs w:val="30"/>
        </w:rPr>
      </w:pPr>
    </w:p>
    <w:p>
      <w:pPr>
        <w:ind w:firstLine="600" w:firstLineChars="200"/>
        <w:rPr>
          <w:rFonts w:ascii="仿宋_GB2312" w:eastAsia="仿宋_GB2312"/>
          <w:color w:val="000000" w:themeColor="text1"/>
          <w:sz w:val="30"/>
          <w:szCs w:val="30"/>
        </w:rPr>
      </w:pPr>
    </w:p>
    <w:p>
      <w:pPr>
        <w:ind w:firstLine="600" w:firstLineChars="200"/>
        <w:rPr>
          <w:rFonts w:ascii="仿宋_GB2312" w:eastAsia="仿宋_GB2312"/>
          <w:color w:val="000000" w:themeColor="text1"/>
          <w:sz w:val="30"/>
          <w:szCs w:val="30"/>
        </w:rPr>
      </w:pPr>
    </w:p>
    <w:p>
      <w:pPr>
        <w:ind w:firstLine="600" w:firstLineChars="200"/>
        <w:rPr>
          <w:rFonts w:ascii="仿宋_GB2312" w:eastAsia="仿宋_GB2312"/>
          <w:color w:val="000000" w:themeColor="text1"/>
          <w:sz w:val="30"/>
          <w:szCs w:val="30"/>
        </w:rPr>
      </w:pPr>
    </w:p>
    <w:p>
      <w:pPr>
        <w:ind w:firstLine="600" w:firstLineChars="200"/>
        <w:rPr>
          <w:rFonts w:ascii="仿宋_GB2312" w:eastAsia="仿宋_GB2312"/>
          <w:color w:val="000000" w:themeColor="text1"/>
          <w:sz w:val="30"/>
          <w:szCs w:val="30"/>
        </w:rPr>
      </w:pPr>
    </w:p>
    <w:p>
      <w:pPr>
        <w:ind w:firstLine="600" w:firstLineChars="200"/>
        <w:rPr>
          <w:rFonts w:ascii="仿宋_GB2312" w:eastAsia="仿宋_GB2312"/>
          <w:color w:val="000000" w:themeColor="text1"/>
          <w:sz w:val="30"/>
          <w:szCs w:val="30"/>
        </w:rPr>
      </w:pPr>
    </w:p>
    <w:p>
      <w:pPr>
        <w:rPr>
          <w:rFonts w:ascii="仿宋_GB2312" w:eastAsia="仿宋_GB2312"/>
          <w:color w:val="000000" w:themeColor="text1"/>
          <w:sz w:val="30"/>
          <w:szCs w:val="30"/>
        </w:rPr>
      </w:pPr>
    </w:p>
    <w:p>
      <w:pPr>
        <w:pStyle w:val="3"/>
        <w:jc w:val="center"/>
        <w:rPr>
          <w:rFonts w:ascii="仿宋_GB2312" w:eastAsia="仿宋_GB2312"/>
          <w:b w:val="0"/>
          <w:color w:val="000000" w:themeColor="text1"/>
        </w:rPr>
      </w:pPr>
      <w:bookmarkStart w:id="8" w:name="_Toc500947591"/>
      <w:bookmarkStart w:id="9" w:name="_Toc60125992"/>
      <w:r>
        <w:rPr>
          <w:rFonts w:hint="eastAsia" w:ascii="仿宋_GB2312" w:eastAsia="仿宋_GB2312"/>
          <w:color w:val="000000" w:themeColor="text1"/>
        </w:rPr>
        <w:t>第二部分</w:t>
      </w:r>
      <w:r>
        <w:rPr>
          <w:rFonts w:ascii="仿宋_GB2312" w:eastAsia="仿宋_GB2312"/>
          <w:color w:val="000000" w:themeColor="text1"/>
        </w:rPr>
        <w:t xml:space="preserve">  </w:t>
      </w:r>
      <w:r>
        <w:rPr>
          <w:rFonts w:hint="eastAsia" w:ascii="仿宋_GB2312" w:eastAsia="仿宋_GB2312"/>
          <w:color w:val="000000" w:themeColor="text1"/>
        </w:rPr>
        <w:t>2021年沧州临港经济技术开发区公共财政预算（草案）</w:t>
      </w:r>
      <w:bookmarkEnd w:id="8"/>
      <w:bookmarkEnd w:id="9"/>
    </w:p>
    <w:p>
      <w:pPr>
        <w:pStyle w:val="4"/>
        <w:jc w:val="center"/>
        <w:rPr>
          <w:rFonts w:ascii="仿宋_GB2312" w:eastAsia="仿宋_GB2312"/>
          <w:color w:val="000000" w:themeColor="text1"/>
        </w:rPr>
      </w:pPr>
      <w:bookmarkStart w:id="10" w:name="_Toc500947592"/>
      <w:bookmarkStart w:id="11" w:name="_Toc60125993"/>
      <w:r>
        <w:rPr>
          <w:rFonts w:hint="eastAsia" w:ascii="仿宋_GB2312" w:eastAsia="仿宋_GB2312"/>
          <w:color w:val="000000" w:themeColor="text1"/>
        </w:rPr>
        <w:t>§</w:t>
      </w:r>
      <w:r>
        <w:rPr>
          <w:rFonts w:ascii="仿宋_GB2312" w:eastAsia="仿宋_GB2312"/>
          <w:color w:val="000000" w:themeColor="text1"/>
        </w:rPr>
        <w:t xml:space="preserve">1  </w:t>
      </w:r>
      <w:r>
        <w:rPr>
          <w:rFonts w:hint="eastAsia" w:ascii="仿宋_GB2312" w:eastAsia="仿宋_GB2312"/>
          <w:color w:val="000000" w:themeColor="text1"/>
        </w:rPr>
        <w:t>2021年公共财政预算收支安排情况</w:t>
      </w:r>
      <w:bookmarkEnd w:id="10"/>
      <w:bookmarkEnd w:id="11"/>
    </w:p>
    <w:p>
      <w:pPr>
        <w:ind w:firstLine="602" w:firstLineChars="200"/>
        <w:rPr>
          <w:rFonts w:ascii="仿宋_GB2312" w:eastAsia="仿宋_GB2312"/>
          <w:b/>
          <w:color w:val="000000" w:themeColor="text1"/>
          <w:sz w:val="30"/>
          <w:szCs w:val="30"/>
        </w:rPr>
      </w:pPr>
      <w:r>
        <w:rPr>
          <w:rFonts w:hint="eastAsia" w:ascii="仿宋_GB2312" w:eastAsia="仿宋_GB2312"/>
          <w:b/>
          <w:color w:val="000000" w:themeColor="text1"/>
          <w:sz w:val="30"/>
          <w:szCs w:val="30"/>
        </w:rPr>
        <w:t>一、公共财政收入预算</w:t>
      </w:r>
      <w:r>
        <w:rPr>
          <w:rFonts w:ascii="仿宋_GB2312" w:eastAsia="仿宋_GB2312"/>
          <w:b/>
          <w:color w:val="000000" w:themeColor="text1"/>
          <w:sz w:val="30"/>
          <w:szCs w:val="30"/>
        </w:rPr>
        <w:t xml:space="preserve">  </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综合分析2021年经济形势及我区税源变化因素，预计2021年我区一般公共财政预算收入完成6.38亿元，同比增长10%，其中：税收收入2.6亿元，同比增长37.57%，非税收入3.78亿元，同比下降9.78%。</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根据2021年一般公共预算收入，按照现行财政体制测算，我区公共财政预算收入72230万元，主要包括：</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1、区本级一般公共财政预算收入63800万元；</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2、返还性收入404万元；</w:t>
      </w:r>
    </w:p>
    <w:p>
      <w:pPr>
        <w:ind w:firstLine="585"/>
        <w:rPr>
          <w:rFonts w:ascii="仿宋_GB2312" w:eastAsia="仿宋_GB2312"/>
          <w:color w:val="000000" w:themeColor="text1"/>
          <w:sz w:val="30"/>
          <w:szCs w:val="30"/>
        </w:rPr>
      </w:pPr>
      <w:r>
        <w:rPr>
          <w:rFonts w:hint="eastAsia" w:ascii="仿宋_GB2312" w:eastAsia="仿宋_GB2312"/>
          <w:color w:val="000000" w:themeColor="text1"/>
          <w:sz w:val="30"/>
          <w:szCs w:val="30"/>
        </w:rPr>
        <w:t>3、调入资金8026万元（其中：从政府性基金预算调入国有土地收益基金收入3100万元、农业土地开发资金收入1186万元、土地出让价款收入780万元，城市基础设施配套费收入540万元；从国有资本经营预算调入2420万元）；</w:t>
      </w:r>
    </w:p>
    <w:p>
      <w:pPr>
        <w:ind w:firstLine="602" w:firstLineChars="200"/>
        <w:rPr>
          <w:rFonts w:ascii="仿宋_GB2312" w:eastAsia="仿宋_GB2312"/>
          <w:b/>
          <w:color w:val="000000" w:themeColor="text1"/>
          <w:sz w:val="30"/>
          <w:szCs w:val="30"/>
        </w:rPr>
      </w:pPr>
      <w:r>
        <w:rPr>
          <w:rFonts w:hint="eastAsia" w:ascii="仿宋_GB2312" w:eastAsia="仿宋_GB2312"/>
          <w:b/>
          <w:color w:val="000000" w:themeColor="text1"/>
          <w:sz w:val="30"/>
          <w:szCs w:val="30"/>
        </w:rPr>
        <w:t>二、公共财政支出预算</w:t>
      </w:r>
      <w:r>
        <w:rPr>
          <w:rFonts w:ascii="仿宋_GB2312" w:eastAsia="仿宋_GB2312"/>
          <w:b/>
          <w:color w:val="000000" w:themeColor="text1"/>
          <w:sz w:val="30"/>
          <w:szCs w:val="30"/>
        </w:rPr>
        <w:t xml:space="preserve"> </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2021年度安排公共财政预算支出72230万元，主要包括：</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1、区本级一般公共预算支出46100万元；</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2、专项上解支出26130万元。</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支出遵循“厉行节约，保障重点”的原则，依据2020年各部门实际经费支出情况，结合各部门2021年谋事档案和工作目标，按照国家各相关文件规定全面强化预算管理，一般公共预算支出46100万元，具体支出安排如下：</w:t>
      </w:r>
    </w:p>
    <w:p>
      <w:pPr>
        <w:ind w:firstLine="602" w:firstLineChars="200"/>
        <w:rPr>
          <w:rFonts w:ascii="仿宋_GB2312" w:eastAsia="仿宋_GB2312"/>
          <w:b/>
          <w:sz w:val="30"/>
          <w:szCs w:val="30"/>
        </w:rPr>
      </w:pPr>
      <w:r>
        <w:rPr>
          <w:rFonts w:hint="eastAsia" w:ascii="仿宋_GB2312" w:eastAsia="仿宋_GB2312"/>
          <w:b/>
          <w:sz w:val="30"/>
          <w:szCs w:val="30"/>
        </w:rPr>
        <w:t xml:space="preserve">（一）人员经费部分4860万元                            </w:t>
      </w:r>
    </w:p>
    <w:p>
      <w:pPr>
        <w:ind w:firstLine="600" w:firstLineChars="200"/>
        <w:rPr>
          <w:rFonts w:ascii="仿宋_GB2312" w:eastAsia="仿宋_GB2312"/>
          <w:bCs/>
          <w:sz w:val="30"/>
          <w:szCs w:val="30"/>
        </w:rPr>
      </w:pPr>
      <w:r>
        <w:rPr>
          <w:rFonts w:hint="eastAsia" w:ascii="仿宋_GB2312" w:eastAsia="仿宋_GB2312"/>
          <w:bCs/>
          <w:sz w:val="30"/>
          <w:szCs w:val="30"/>
        </w:rPr>
        <w:t>预计2021年人员经费4860万元。其中：工资总额3870万元（含基本工资1837万元，津贴补贴158万元，绩效工资1875万元），奖金68万元，职工社保缴费721万元，住房公积金187万元，对个人和家庭的补助14万元。</w:t>
      </w:r>
    </w:p>
    <w:p>
      <w:pPr>
        <w:ind w:firstLine="602" w:firstLineChars="200"/>
        <w:rPr>
          <w:rFonts w:ascii="仿宋_GB2312" w:eastAsia="仿宋_GB2312"/>
          <w:b/>
          <w:sz w:val="30"/>
          <w:szCs w:val="30"/>
        </w:rPr>
      </w:pPr>
      <w:r>
        <w:rPr>
          <w:rFonts w:hint="eastAsia" w:ascii="仿宋_GB2312" w:eastAsia="仿宋_GB2312"/>
          <w:b/>
          <w:sz w:val="30"/>
          <w:szCs w:val="30"/>
        </w:rPr>
        <w:t>（二）日常公用经费部分253万元</w:t>
      </w:r>
    </w:p>
    <w:p>
      <w:pPr>
        <w:ind w:firstLine="600" w:firstLineChars="200"/>
        <w:rPr>
          <w:rFonts w:ascii="仿宋_GB2312" w:eastAsia="仿宋_GB2312"/>
          <w:color w:val="000000" w:themeColor="text1"/>
          <w:sz w:val="30"/>
          <w:szCs w:val="30"/>
          <w:highlight w:val="yellow"/>
        </w:rPr>
      </w:pPr>
      <w:r>
        <w:rPr>
          <w:rFonts w:hint="eastAsia" w:ascii="仿宋_GB2312" w:eastAsia="仿宋_GB2312"/>
          <w:bCs/>
          <w:color w:val="000000" w:themeColor="text1"/>
          <w:sz w:val="30"/>
          <w:szCs w:val="30"/>
        </w:rPr>
        <w:t>日常公用经费是维持单位正常运转、保证正常公务活动和日常业务开展所必需的支出，按部门核定。2021年全区日常公用经费依据渤海新区标准核定为253万元。</w:t>
      </w:r>
    </w:p>
    <w:p>
      <w:pPr>
        <w:ind w:firstLine="602" w:firstLineChars="200"/>
        <w:rPr>
          <w:rFonts w:ascii="仿宋_GB2312" w:eastAsia="仿宋_GB2312"/>
          <w:b/>
          <w:sz w:val="30"/>
          <w:szCs w:val="30"/>
        </w:rPr>
      </w:pPr>
      <w:r>
        <w:rPr>
          <w:rFonts w:hint="eastAsia" w:ascii="仿宋_GB2312" w:eastAsia="仿宋_GB2312"/>
          <w:b/>
          <w:color w:val="000000" w:themeColor="text1"/>
          <w:sz w:val="30"/>
          <w:szCs w:val="30"/>
        </w:rPr>
        <w:t>（三）专项公用经费支出</w:t>
      </w:r>
      <w:r>
        <w:rPr>
          <w:rFonts w:hint="eastAsia" w:ascii="仿宋_GB2312" w:eastAsia="仿宋_GB2312"/>
          <w:b/>
          <w:sz w:val="30"/>
          <w:szCs w:val="30"/>
          <w:lang w:val="en-US" w:eastAsia="zh-CN"/>
        </w:rPr>
        <w:t>704</w:t>
      </w:r>
      <w:r>
        <w:rPr>
          <w:rFonts w:hint="eastAsia" w:ascii="仿宋_GB2312" w:eastAsia="仿宋_GB2312"/>
          <w:b/>
          <w:sz w:val="30"/>
          <w:szCs w:val="30"/>
        </w:rPr>
        <w:t>4万元</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财政安排2021年度专项公用经费支出总额为</w:t>
      </w:r>
      <w:r>
        <w:rPr>
          <w:rFonts w:hint="eastAsia" w:ascii="仿宋_GB2312" w:eastAsia="仿宋_GB2312"/>
          <w:color w:val="000000" w:themeColor="text1"/>
          <w:sz w:val="30"/>
          <w:szCs w:val="30"/>
          <w:lang w:val="en-US" w:eastAsia="zh-CN"/>
        </w:rPr>
        <w:t>7044</w:t>
      </w:r>
      <w:r>
        <w:rPr>
          <w:rFonts w:hint="eastAsia" w:ascii="仿宋_GB2312" w:eastAsia="仿宋_GB2312"/>
          <w:color w:val="000000" w:themeColor="text1"/>
          <w:sz w:val="30"/>
          <w:szCs w:val="30"/>
        </w:rPr>
        <w:t>万元</w:t>
      </w:r>
      <w:r>
        <w:rPr>
          <w:rFonts w:hint="eastAsia" w:ascii="仿宋" w:hAnsi="仿宋" w:eastAsia="仿宋"/>
          <w:color w:val="000000" w:themeColor="text1"/>
          <w:sz w:val="32"/>
          <w:szCs w:val="32"/>
        </w:rPr>
        <w:t>。</w:t>
      </w:r>
      <w:r>
        <w:rPr>
          <w:rFonts w:hint="eastAsia" w:ascii="仿宋_GB2312" w:eastAsia="仿宋_GB2312"/>
          <w:color w:val="000000" w:themeColor="text1"/>
          <w:sz w:val="30"/>
          <w:szCs w:val="30"/>
        </w:rPr>
        <w:t>专项公用经费，是指用于开发区各部门本身的非经常性、阶段性的专项投入。主要包括：招商引资、项目评审、宣传费等支出和公安、消防等驻区部门经费支出。对于这部分的公用经费实行项目预算管理逐项申报审核，部分支出实行政府采购。</w:t>
      </w:r>
    </w:p>
    <w:p>
      <w:pPr>
        <w:ind w:firstLine="602" w:firstLineChars="200"/>
        <w:rPr>
          <w:rFonts w:ascii="仿宋_GB2312" w:eastAsia="仿宋_GB2312"/>
          <w:b/>
          <w:sz w:val="30"/>
          <w:szCs w:val="30"/>
        </w:rPr>
      </w:pPr>
      <w:r>
        <w:rPr>
          <w:rFonts w:hint="eastAsia" w:ascii="仿宋_GB2312" w:eastAsia="仿宋_GB2312"/>
          <w:b/>
          <w:sz w:val="30"/>
          <w:szCs w:val="30"/>
        </w:rPr>
        <w:t>（四）专项项目支出339</w:t>
      </w:r>
      <w:r>
        <w:rPr>
          <w:rFonts w:hint="eastAsia" w:ascii="仿宋_GB2312" w:eastAsia="仿宋_GB2312"/>
          <w:b/>
          <w:sz w:val="30"/>
          <w:szCs w:val="30"/>
          <w:lang w:val="en-US" w:eastAsia="zh-CN"/>
        </w:rPr>
        <w:t>4</w:t>
      </w:r>
      <w:r>
        <w:rPr>
          <w:rFonts w:hint="eastAsia" w:ascii="仿宋_GB2312" w:eastAsia="仿宋_GB2312"/>
          <w:b/>
          <w:sz w:val="30"/>
          <w:szCs w:val="30"/>
        </w:rPr>
        <w:t>3万元</w:t>
      </w:r>
    </w:p>
    <w:p>
      <w:pPr>
        <w:ind w:firstLine="602" w:firstLineChars="200"/>
        <w:rPr>
          <w:rFonts w:ascii="仿宋_GB2312" w:eastAsia="仿宋_GB2312"/>
          <w:b/>
          <w:bCs/>
          <w:sz w:val="30"/>
          <w:szCs w:val="30"/>
        </w:rPr>
      </w:pPr>
      <w:r>
        <w:rPr>
          <w:rFonts w:hint="eastAsia" w:ascii="仿宋_GB2312" w:eastAsia="仿宋_GB2312"/>
          <w:b/>
          <w:bCs/>
          <w:sz w:val="30"/>
          <w:szCs w:val="30"/>
        </w:rPr>
        <w:t>1、重点项目支出33480万元，包括：</w:t>
      </w:r>
    </w:p>
    <w:p>
      <w:pPr>
        <w:ind w:firstLine="600" w:firstLineChars="200"/>
        <w:rPr>
          <w:rFonts w:ascii="仿宋_GB2312" w:eastAsia="仿宋_GB2312"/>
          <w:sz w:val="30"/>
          <w:szCs w:val="30"/>
        </w:rPr>
      </w:pPr>
      <w:r>
        <w:rPr>
          <w:rFonts w:hint="eastAsia" w:ascii="仿宋_GB2312" w:eastAsia="仿宋_GB2312"/>
          <w:sz w:val="30"/>
          <w:szCs w:val="30"/>
        </w:rPr>
        <w:t>（</w:t>
      </w:r>
      <w:r>
        <w:rPr>
          <w:rFonts w:ascii="仿宋_GB2312" w:eastAsia="仿宋_GB2312"/>
          <w:sz w:val="30"/>
          <w:szCs w:val="30"/>
        </w:rPr>
        <w:t>1</w:t>
      </w:r>
      <w:r>
        <w:rPr>
          <w:rFonts w:hint="eastAsia" w:ascii="仿宋_GB2312" w:eastAsia="仿宋_GB2312"/>
          <w:sz w:val="30"/>
          <w:szCs w:val="30"/>
        </w:rPr>
        <w:t>）重点企业升级改造奖补资金1000万元；</w:t>
      </w:r>
    </w:p>
    <w:p>
      <w:pPr>
        <w:ind w:firstLine="600" w:firstLineChars="200"/>
        <w:rPr>
          <w:rFonts w:ascii="仿宋_GB2312" w:eastAsia="仿宋_GB2312"/>
          <w:bCs/>
          <w:sz w:val="30"/>
          <w:szCs w:val="30"/>
        </w:rPr>
      </w:pPr>
      <w:r>
        <w:rPr>
          <w:rFonts w:hint="eastAsia" w:ascii="仿宋_GB2312" w:eastAsia="仿宋_GB2312"/>
          <w:sz w:val="30"/>
          <w:szCs w:val="30"/>
        </w:rPr>
        <w:t>（2）</w:t>
      </w:r>
      <w:r>
        <w:rPr>
          <w:rFonts w:hint="eastAsia" w:ascii="仿宋_GB2312" w:eastAsia="仿宋_GB2312"/>
          <w:bCs/>
          <w:sz w:val="30"/>
          <w:szCs w:val="30"/>
        </w:rPr>
        <w:t>南水北调水费支出3650万元；</w:t>
      </w:r>
    </w:p>
    <w:p>
      <w:pPr>
        <w:ind w:firstLine="600" w:firstLineChars="200"/>
        <w:rPr>
          <w:rFonts w:ascii="仿宋_GB2312" w:eastAsia="仿宋_GB2312"/>
          <w:sz w:val="30"/>
          <w:szCs w:val="30"/>
        </w:rPr>
      </w:pPr>
      <w:r>
        <w:rPr>
          <w:rFonts w:hint="eastAsia" w:ascii="仿宋_GB2312" w:eastAsia="仿宋_GB2312"/>
          <w:bCs/>
          <w:sz w:val="30"/>
          <w:szCs w:val="30"/>
        </w:rPr>
        <w:t>（3）国有企业注资26200万元；</w:t>
      </w:r>
    </w:p>
    <w:p>
      <w:pPr>
        <w:ind w:firstLine="600" w:firstLineChars="200"/>
        <w:rPr>
          <w:rFonts w:ascii="仿宋_GB2312" w:eastAsia="仿宋_GB2312"/>
          <w:sz w:val="30"/>
          <w:szCs w:val="30"/>
        </w:rPr>
      </w:pPr>
      <w:r>
        <w:rPr>
          <w:rFonts w:hint="eastAsia" w:ascii="仿宋_GB2312" w:eastAsia="仿宋_GB2312"/>
          <w:bCs/>
          <w:sz w:val="30"/>
          <w:szCs w:val="30"/>
        </w:rPr>
        <w:t>（4）</w:t>
      </w:r>
      <w:r>
        <w:rPr>
          <w:rFonts w:hint="eastAsia" w:ascii="仿宋_GB2312" w:eastAsia="仿宋_GB2312"/>
          <w:sz w:val="30"/>
          <w:szCs w:val="30"/>
        </w:rPr>
        <w:t>生物医药园基础设施配套项目2</w:t>
      </w:r>
      <w:r>
        <w:rPr>
          <w:rFonts w:ascii="仿宋_GB2312" w:eastAsia="仿宋_GB2312"/>
          <w:sz w:val="30"/>
          <w:szCs w:val="30"/>
        </w:rPr>
        <w:t>00</w:t>
      </w:r>
      <w:r>
        <w:rPr>
          <w:rFonts w:hint="eastAsia" w:ascii="仿宋_GB2312" w:eastAsia="仿宋_GB2312"/>
          <w:sz w:val="30"/>
          <w:szCs w:val="30"/>
        </w:rPr>
        <w:t>万元；</w:t>
      </w:r>
    </w:p>
    <w:p>
      <w:pPr>
        <w:ind w:firstLine="600" w:firstLineChars="200"/>
        <w:rPr>
          <w:rFonts w:ascii="仿宋_GB2312" w:eastAsia="仿宋_GB2312"/>
          <w:bCs/>
          <w:sz w:val="30"/>
          <w:szCs w:val="30"/>
        </w:rPr>
      </w:pPr>
      <w:r>
        <w:rPr>
          <w:rFonts w:hint="eastAsia" w:ascii="仿宋_GB2312" w:eastAsia="仿宋_GB2312"/>
          <w:sz w:val="30"/>
          <w:szCs w:val="30"/>
        </w:rPr>
        <w:t>（5）</w:t>
      </w:r>
      <w:r>
        <w:rPr>
          <w:rFonts w:hint="eastAsia" w:ascii="仿宋_GB2312" w:eastAsia="仿宋_GB2312"/>
          <w:bCs/>
          <w:sz w:val="30"/>
          <w:szCs w:val="30"/>
        </w:rPr>
        <w:t>招商项目基础设施配套300万元；</w:t>
      </w:r>
    </w:p>
    <w:p>
      <w:pPr>
        <w:ind w:firstLine="600" w:firstLineChars="200"/>
        <w:rPr>
          <w:rFonts w:ascii="仿宋_GB2312" w:eastAsia="仿宋_GB2312"/>
          <w:sz w:val="30"/>
          <w:szCs w:val="30"/>
        </w:rPr>
      </w:pPr>
      <w:r>
        <w:rPr>
          <w:rFonts w:hint="eastAsia" w:ascii="仿宋_GB2312" w:eastAsia="仿宋_GB2312"/>
          <w:bCs/>
          <w:sz w:val="30"/>
          <w:szCs w:val="30"/>
        </w:rPr>
        <w:t>（6）</w:t>
      </w:r>
      <w:r>
        <w:rPr>
          <w:rFonts w:hint="eastAsia" w:ascii="仿宋_GB2312" w:eastAsia="仿宋_GB2312"/>
          <w:sz w:val="30"/>
          <w:szCs w:val="30"/>
        </w:rPr>
        <w:t>企业补贴资金500万元；</w:t>
      </w:r>
    </w:p>
    <w:p>
      <w:pPr>
        <w:ind w:firstLine="600" w:firstLineChars="200"/>
        <w:rPr>
          <w:rFonts w:ascii="仿宋_GB2312" w:eastAsia="仿宋_GB2312"/>
          <w:bCs/>
          <w:sz w:val="30"/>
          <w:szCs w:val="30"/>
        </w:rPr>
      </w:pPr>
      <w:r>
        <w:rPr>
          <w:rFonts w:hint="eastAsia" w:ascii="仿宋_GB2312" w:eastAsia="仿宋_GB2312"/>
          <w:bCs/>
          <w:sz w:val="30"/>
          <w:szCs w:val="30"/>
        </w:rPr>
        <w:t>（7）辛庄子转型生活费400万元；</w:t>
      </w:r>
    </w:p>
    <w:p>
      <w:pPr>
        <w:ind w:firstLine="600" w:firstLineChars="200"/>
        <w:rPr>
          <w:rFonts w:ascii="仿宋_GB2312" w:eastAsia="仿宋_GB2312"/>
          <w:bCs/>
          <w:sz w:val="30"/>
          <w:szCs w:val="30"/>
        </w:rPr>
      </w:pPr>
      <w:r>
        <w:rPr>
          <w:rFonts w:hint="eastAsia" w:ascii="仿宋_GB2312" w:eastAsia="仿宋_GB2312"/>
          <w:bCs/>
          <w:sz w:val="30"/>
          <w:szCs w:val="30"/>
        </w:rPr>
        <w:t>（8）农民工工资保障金400万元；</w:t>
      </w:r>
    </w:p>
    <w:p>
      <w:pPr>
        <w:ind w:firstLine="600" w:firstLineChars="200"/>
        <w:rPr>
          <w:rFonts w:ascii="仿宋_GB2312" w:eastAsia="仿宋_GB2312"/>
          <w:bCs/>
          <w:sz w:val="30"/>
          <w:szCs w:val="30"/>
        </w:rPr>
      </w:pPr>
      <w:r>
        <w:rPr>
          <w:rFonts w:hint="eastAsia" w:ascii="仿宋_GB2312" w:eastAsia="仿宋_GB2312"/>
          <w:bCs/>
          <w:sz w:val="30"/>
          <w:szCs w:val="30"/>
        </w:rPr>
        <w:t>（9）</w:t>
      </w:r>
      <w:r>
        <w:rPr>
          <w:rFonts w:hint="eastAsia" w:ascii="仿宋_GB2312" w:eastAsia="仿宋_GB2312"/>
          <w:sz w:val="30"/>
          <w:szCs w:val="30"/>
        </w:rPr>
        <w:t>电力线路改造300万元；</w:t>
      </w:r>
    </w:p>
    <w:p>
      <w:pPr>
        <w:ind w:firstLine="600" w:firstLineChars="200"/>
        <w:rPr>
          <w:rFonts w:ascii="仿宋_GB2312" w:eastAsia="仿宋_GB2312"/>
          <w:bCs/>
          <w:sz w:val="30"/>
          <w:szCs w:val="30"/>
        </w:rPr>
      </w:pPr>
      <w:r>
        <w:rPr>
          <w:rFonts w:hint="eastAsia" w:ascii="仿宋_GB2312" w:eastAsia="仿宋_GB2312"/>
          <w:bCs/>
          <w:sz w:val="30"/>
          <w:szCs w:val="30"/>
        </w:rPr>
        <w:t>（10）派出所建设530万元；</w:t>
      </w:r>
    </w:p>
    <w:p>
      <w:pPr>
        <w:ind w:firstLine="602" w:firstLineChars="200"/>
        <w:rPr>
          <w:rFonts w:ascii="仿宋_GB2312" w:eastAsia="仿宋_GB2312"/>
          <w:b/>
          <w:bCs/>
          <w:sz w:val="30"/>
          <w:szCs w:val="30"/>
        </w:rPr>
      </w:pPr>
      <w:r>
        <w:rPr>
          <w:rFonts w:hint="eastAsia" w:ascii="仿宋_GB2312" w:eastAsia="仿宋_GB2312"/>
          <w:b/>
          <w:bCs/>
          <w:sz w:val="30"/>
          <w:szCs w:val="30"/>
        </w:rPr>
        <w:t>2、预备费</w:t>
      </w:r>
      <w:r>
        <w:rPr>
          <w:rFonts w:hint="eastAsia" w:ascii="仿宋_GB2312" w:eastAsia="仿宋_GB2312"/>
          <w:b/>
          <w:bCs/>
          <w:sz w:val="30"/>
          <w:szCs w:val="30"/>
          <w:lang w:val="en-US" w:eastAsia="zh-CN"/>
        </w:rPr>
        <w:t>463</w:t>
      </w:r>
      <w:r>
        <w:rPr>
          <w:rFonts w:hint="eastAsia" w:ascii="仿宋_GB2312" w:eastAsia="仿宋_GB2312"/>
          <w:b/>
          <w:bCs/>
          <w:sz w:val="30"/>
          <w:szCs w:val="30"/>
        </w:rPr>
        <w:t>万元。</w:t>
      </w:r>
    </w:p>
    <w:p>
      <w:pPr>
        <w:rPr>
          <w:rFonts w:ascii="仿宋_GB2312" w:eastAsia="仿宋_GB2312"/>
          <w:b/>
          <w:bCs/>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tabs>
          <w:tab w:val="left" w:pos="4070"/>
        </w:tabs>
        <w:spacing w:line="360" w:lineRule="auto"/>
        <w:jc w:val="left"/>
        <w:rPr>
          <w:rFonts w:ascii="仿宋_GB2312" w:eastAsia="仿宋_GB2312"/>
          <w:b/>
          <w:color w:val="000000" w:themeColor="text1"/>
          <w:sz w:val="32"/>
          <w:szCs w:val="32"/>
        </w:rPr>
      </w:pPr>
    </w:p>
    <w:tbl>
      <w:tblPr>
        <w:tblStyle w:val="15"/>
        <w:tblW w:w="9400" w:type="dxa"/>
        <w:tblInd w:w="93" w:type="dxa"/>
        <w:tblLayout w:type="autofit"/>
        <w:tblCellMar>
          <w:top w:w="0" w:type="dxa"/>
          <w:left w:w="108" w:type="dxa"/>
          <w:bottom w:w="0" w:type="dxa"/>
          <w:right w:w="108" w:type="dxa"/>
        </w:tblCellMar>
      </w:tblPr>
      <w:tblGrid>
        <w:gridCol w:w="2760"/>
        <w:gridCol w:w="1962"/>
        <w:gridCol w:w="2126"/>
        <w:gridCol w:w="832"/>
        <w:gridCol w:w="1720"/>
      </w:tblGrid>
      <w:tr>
        <w:tblPrEx>
          <w:tblCellMar>
            <w:top w:w="0" w:type="dxa"/>
            <w:left w:w="108" w:type="dxa"/>
            <w:bottom w:w="0" w:type="dxa"/>
            <w:right w:w="108" w:type="dxa"/>
          </w:tblCellMar>
        </w:tblPrEx>
        <w:trPr>
          <w:trHeight w:val="1050" w:hRule="atLeast"/>
        </w:trPr>
        <w:tc>
          <w:tcPr>
            <w:tcW w:w="9400" w:type="dxa"/>
            <w:gridSpan w:val="5"/>
            <w:tcBorders>
              <w:top w:val="nil"/>
              <w:left w:val="nil"/>
              <w:bottom w:val="nil"/>
              <w:right w:val="nil"/>
            </w:tcBorders>
            <w:shd w:val="clear" w:color="auto" w:fill="auto"/>
            <w:vAlign w:val="center"/>
          </w:tcPr>
          <w:p>
            <w:pPr>
              <w:pStyle w:val="4"/>
              <w:jc w:val="center"/>
              <w:rPr>
                <w:rFonts w:ascii="仿宋_GB2312" w:eastAsia="仿宋_GB2312"/>
                <w:color w:val="000000" w:themeColor="text1"/>
              </w:rPr>
            </w:pPr>
            <w:bookmarkStart w:id="12" w:name="_Toc60125994"/>
            <w:r>
              <w:rPr>
                <w:rFonts w:hint="eastAsia" w:ascii="仿宋_GB2312" w:eastAsia="仿宋_GB2312"/>
                <w:color w:val="000000" w:themeColor="text1"/>
              </w:rPr>
              <w:t>§2  2021年公共财政预算收支平衡表</w:t>
            </w:r>
            <w:bookmarkEnd w:id="12"/>
          </w:p>
        </w:tc>
      </w:tr>
      <w:tr>
        <w:tblPrEx>
          <w:tblCellMar>
            <w:top w:w="0" w:type="dxa"/>
            <w:left w:w="108" w:type="dxa"/>
            <w:bottom w:w="0" w:type="dxa"/>
            <w:right w:w="108" w:type="dxa"/>
          </w:tblCellMar>
        </w:tblPrEx>
        <w:trPr>
          <w:trHeight w:val="390" w:hRule="atLeast"/>
        </w:trPr>
        <w:tc>
          <w:tcPr>
            <w:tcW w:w="4722" w:type="dxa"/>
            <w:gridSpan w:val="2"/>
            <w:tcBorders>
              <w:top w:val="nil"/>
              <w:left w:val="nil"/>
              <w:bottom w:val="nil"/>
              <w:right w:val="nil"/>
            </w:tcBorders>
            <w:shd w:val="clear" w:color="auto" w:fill="auto"/>
            <w:vAlign w:val="center"/>
          </w:tcPr>
          <w:p>
            <w:pPr>
              <w:widowControl/>
              <w:jc w:val="left"/>
              <w:rPr>
                <w:rFonts w:ascii="Courier New" w:hAnsi="Courier New" w:cs="Courier New"/>
                <w:color w:val="000000"/>
                <w:kern w:val="0"/>
                <w:sz w:val="24"/>
              </w:rPr>
            </w:pPr>
          </w:p>
        </w:tc>
        <w:tc>
          <w:tcPr>
            <w:tcW w:w="2958" w:type="dxa"/>
            <w:gridSpan w:val="2"/>
            <w:tcBorders>
              <w:top w:val="nil"/>
              <w:left w:val="nil"/>
              <w:bottom w:val="nil"/>
              <w:right w:val="nil"/>
            </w:tcBorders>
            <w:shd w:val="clear" w:color="auto" w:fill="auto"/>
            <w:vAlign w:val="center"/>
          </w:tcPr>
          <w:p>
            <w:pPr>
              <w:widowControl/>
              <w:jc w:val="left"/>
              <w:rPr>
                <w:rFonts w:ascii="宋体" w:hAnsi="宋体" w:cs="宋体"/>
                <w:color w:val="000000"/>
                <w:kern w:val="0"/>
                <w:sz w:val="22"/>
                <w:szCs w:val="22"/>
              </w:rPr>
            </w:pPr>
          </w:p>
        </w:tc>
        <w:tc>
          <w:tcPr>
            <w:tcW w:w="1720" w:type="dxa"/>
            <w:tcBorders>
              <w:top w:val="nil"/>
              <w:left w:val="nil"/>
              <w:bottom w:val="nil"/>
              <w:right w:val="nil"/>
            </w:tcBorders>
            <w:shd w:val="clear" w:color="auto" w:fill="auto"/>
            <w:vAlign w:val="center"/>
          </w:tcPr>
          <w:p>
            <w:pPr>
              <w:widowControl/>
              <w:ind w:right="240"/>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单位：万元</w:t>
            </w:r>
          </w:p>
        </w:tc>
      </w:tr>
      <w:tr>
        <w:tblPrEx>
          <w:tblCellMar>
            <w:top w:w="0" w:type="dxa"/>
            <w:left w:w="108" w:type="dxa"/>
            <w:bottom w:w="0" w:type="dxa"/>
            <w:right w:w="108" w:type="dxa"/>
          </w:tblCellMar>
        </w:tblPrEx>
        <w:trPr>
          <w:trHeight w:val="702" w:hRule="atLeast"/>
        </w:trPr>
        <w:tc>
          <w:tcPr>
            <w:tcW w:w="472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收   入</w:t>
            </w:r>
          </w:p>
        </w:tc>
        <w:tc>
          <w:tcPr>
            <w:tcW w:w="467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支   出</w:t>
            </w:r>
          </w:p>
        </w:tc>
      </w:tr>
      <w:tr>
        <w:tblPrEx>
          <w:tblCellMar>
            <w:top w:w="0" w:type="dxa"/>
            <w:left w:w="108" w:type="dxa"/>
            <w:bottom w:w="0" w:type="dxa"/>
            <w:right w:w="108" w:type="dxa"/>
          </w:tblCellMar>
        </w:tblPrEx>
        <w:trPr>
          <w:trHeight w:val="702" w:hRule="atLeast"/>
        </w:trPr>
        <w:tc>
          <w:tcPr>
            <w:tcW w:w="27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项    目</w:t>
            </w:r>
          </w:p>
        </w:tc>
        <w:tc>
          <w:tcPr>
            <w:tcW w:w="196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预算安排</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项    目</w:t>
            </w:r>
          </w:p>
        </w:tc>
        <w:tc>
          <w:tcPr>
            <w:tcW w:w="2552"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预算安排</w:t>
            </w:r>
          </w:p>
        </w:tc>
      </w:tr>
      <w:tr>
        <w:tblPrEx>
          <w:tblCellMar>
            <w:top w:w="0" w:type="dxa"/>
            <w:left w:w="108" w:type="dxa"/>
            <w:bottom w:w="0" w:type="dxa"/>
            <w:right w:w="108" w:type="dxa"/>
          </w:tblCellMar>
        </w:tblPrEx>
        <w:trPr>
          <w:trHeight w:val="1200" w:hRule="atLeast"/>
        </w:trPr>
        <w:tc>
          <w:tcPr>
            <w:tcW w:w="27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公共预算收入总计</w:t>
            </w:r>
          </w:p>
        </w:tc>
        <w:tc>
          <w:tcPr>
            <w:tcW w:w="1962"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24"/>
              </w:rPr>
            </w:pPr>
            <w:r>
              <w:rPr>
                <w:rFonts w:hint="eastAsia" w:ascii="仿宋_GB2312" w:hAnsi="宋体" w:eastAsia="仿宋_GB2312" w:cs="宋体"/>
                <w:color w:val="000000"/>
                <w:kern w:val="0"/>
                <w:sz w:val="24"/>
              </w:rPr>
              <w:t>72,230</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公共预算支出总计</w:t>
            </w:r>
          </w:p>
        </w:tc>
        <w:tc>
          <w:tcPr>
            <w:tcW w:w="2552" w:type="dxa"/>
            <w:gridSpan w:val="2"/>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24"/>
              </w:rPr>
            </w:pPr>
            <w:r>
              <w:rPr>
                <w:rFonts w:hint="eastAsia" w:ascii="仿宋_GB2312" w:hAnsi="宋体" w:eastAsia="仿宋_GB2312" w:cs="宋体"/>
                <w:color w:val="000000"/>
                <w:kern w:val="0"/>
                <w:sz w:val="24"/>
              </w:rPr>
              <w:t>72,230</w:t>
            </w:r>
          </w:p>
        </w:tc>
      </w:tr>
      <w:tr>
        <w:tblPrEx>
          <w:tblCellMar>
            <w:top w:w="0" w:type="dxa"/>
            <w:left w:w="108" w:type="dxa"/>
            <w:bottom w:w="0" w:type="dxa"/>
            <w:right w:w="108" w:type="dxa"/>
          </w:tblCellMar>
        </w:tblPrEx>
        <w:trPr>
          <w:trHeight w:val="1099" w:hRule="atLeast"/>
        </w:trPr>
        <w:tc>
          <w:tcPr>
            <w:tcW w:w="2760"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24"/>
              </w:rPr>
            </w:pPr>
            <w:r>
              <w:rPr>
                <w:rFonts w:hint="eastAsia" w:ascii="仿宋_GB2312" w:hAnsi="宋体" w:eastAsia="仿宋_GB2312" w:cs="宋体"/>
                <w:color w:val="000000"/>
                <w:kern w:val="0"/>
                <w:sz w:val="24"/>
              </w:rPr>
              <w:t>一、区本级一般公共预算收入</w:t>
            </w:r>
          </w:p>
        </w:tc>
        <w:tc>
          <w:tcPr>
            <w:tcW w:w="196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63,800</w:t>
            </w:r>
          </w:p>
        </w:tc>
        <w:tc>
          <w:tcPr>
            <w:tcW w:w="2126"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24"/>
              </w:rPr>
            </w:pPr>
            <w:r>
              <w:rPr>
                <w:rFonts w:hint="eastAsia" w:ascii="仿宋_GB2312" w:hAnsi="宋体" w:eastAsia="仿宋_GB2312" w:cs="宋体"/>
                <w:color w:val="000000"/>
                <w:kern w:val="0"/>
                <w:sz w:val="24"/>
              </w:rPr>
              <w:t>一、区本级一般公共预算支出</w:t>
            </w:r>
          </w:p>
        </w:tc>
        <w:tc>
          <w:tcPr>
            <w:tcW w:w="2552"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46,100</w:t>
            </w:r>
          </w:p>
        </w:tc>
      </w:tr>
      <w:tr>
        <w:tblPrEx>
          <w:tblCellMar>
            <w:top w:w="0" w:type="dxa"/>
            <w:left w:w="108" w:type="dxa"/>
            <w:bottom w:w="0" w:type="dxa"/>
            <w:right w:w="108" w:type="dxa"/>
          </w:tblCellMar>
        </w:tblPrEx>
        <w:trPr>
          <w:trHeight w:val="1099" w:hRule="atLeast"/>
        </w:trPr>
        <w:tc>
          <w:tcPr>
            <w:tcW w:w="2760" w:type="dxa"/>
            <w:tcBorders>
              <w:top w:val="nil"/>
              <w:left w:val="single" w:color="auto" w:sz="4" w:space="0"/>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24"/>
              </w:rPr>
            </w:pPr>
            <w:r>
              <w:rPr>
                <w:rFonts w:hint="eastAsia" w:ascii="仿宋_GB2312" w:hAnsi="宋体" w:eastAsia="仿宋_GB2312" w:cs="宋体"/>
                <w:color w:val="000000"/>
                <w:kern w:val="0"/>
                <w:sz w:val="24"/>
              </w:rPr>
              <w:t>二、返还性收入</w:t>
            </w:r>
          </w:p>
        </w:tc>
        <w:tc>
          <w:tcPr>
            <w:tcW w:w="196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404</w:t>
            </w:r>
          </w:p>
        </w:tc>
        <w:tc>
          <w:tcPr>
            <w:tcW w:w="2126"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color w:val="000000"/>
                <w:kern w:val="0"/>
                <w:sz w:val="24"/>
              </w:rPr>
            </w:pPr>
            <w:r>
              <w:rPr>
                <w:rFonts w:hint="eastAsia" w:ascii="仿宋_GB2312" w:hAnsi="宋体" w:eastAsia="仿宋_GB2312" w:cs="宋体"/>
                <w:color w:val="000000"/>
                <w:kern w:val="0"/>
                <w:sz w:val="24"/>
              </w:rPr>
              <w:t>二、上解支出</w:t>
            </w:r>
          </w:p>
        </w:tc>
        <w:tc>
          <w:tcPr>
            <w:tcW w:w="2552"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26,130</w:t>
            </w:r>
          </w:p>
        </w:tc>
      </w:tr>
      <w:tr>
        <w:tblPrEx>
          <w:tblCellMar>
            <w:top w:w="0" w:type="dxa"/>
            <w:left w:w="108" w:type="dxa"/>
            <w:bottom w:w="0" w:type="dxa"/>
            <w:right w:w="108" w:type="dxa"/>
          </w:tblCellMar>
        </w:tblPrEx>
        <w:trPr>
          <w:trHeight w:val="1099" w:hRule="atLeast"/>
        </w:trPr>
        <w:tc>
          <w:tcPr>
            <w:tcW w:w="276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四、调入资金</w:t>
            </w:r>
          </w:p>
        </w:tc>
        <w:tc>
          <w:tcPr>
            <w:tcW w:w="196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8,026</w:t>
            </w:r>
          </w:p>
        </w:tc>
        <w:tc>
          <w:tcPr>
            <w:tcW w:w="2126" w:type="dxa"/>
            <w:tcBorders>
              <w:top w:val="nil"/>
              <w:left w:val="nil"/>
              <w:bottom w:val="single" w:color="auto" w:sz="4" w:space="0"/>
              <w:right w:val="single" w:color="auto" w:sz="4" w:space="0"/>
            </w:tcBorders>
            <w:shd w:val="clear" w:color="auto" w:fill="auto"/>
            <w:vAlign w:val="center"/>
          </w:tcPr>
          <w:p>
            <w:pPr>
              <w:widowControl/>
              <w:ind w:firstLine="240" w:firstLineChars="10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2552" w:type="dxa"/>
            <w:gridSpan w:val="2"/>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099" w:hRule="atLeast"/>
        </w:trPr>
        <w:tc>
          <w:tcPr>
            <w:tcW w:w="2760" w:type="dxa"/>
            <w:tcBorders>
              <w:top w:val="nil"/>
              <w:left w:val="single" w:color="auto" w:sz="4" w:space="0"/>
              <w:bottom w:val="single" w:color="auto" w:sz="4" w:space="0"/>
              <w:right w:val="single" w:color="auto" w:sz="4" w:space="0"/>
            </w:tcBorders>
            <w:shd w:val="clear" w:color="auto" w:fill="auto"/>
            <w:vAlign w:val="center"/>
          </w:tcPr>
          <w:p>
            <w:pPr>
              <w:widowControl/>
              <w:ind w:firstLine="240" w:firstLineChars="10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（一）从政府性基金预算调入</w:t>
            </w:r>
          </w:p>
        </w:tc>
        <w:tc>
          <w:tcPr>
            <w:tcW w:w="1962" w:type="dxa"/>
            <w:tcBorders>
              <w:top w:val="nil"/>
              <w:left w:val="nil"/>
              <w:bottom w:val="single" w:color="auto" w:sz="4" w:space="0"/>
              <w:right w:val="single" w:color="auto" w:sz="4" w:space="0"/>
            </w:tcBorders>
            <w:shd w:val="clear" w:color="auto" w:fill="auto"/>
            <w:vAlign w:val="center"/>
          </w:tcPr>
          <w:p>
            <w:pPr>
              <w:widowControl/>
              <w:ind w:firstLine="240" w:firstLineChars="100"/>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5,606</w:t>
            </w:r>
          </w:p>
        </w:tc>
        <w:tc>
          <w:tcPr>
            <w:tcW w:w="2126" w:type="dxa"/>
            <w:tcBorders>
              <w:top w:val="nil"/>
              <w:left w:val="nil"/>
              <w:bottom w:val="single" w:color="auto" w:sz="4" w:space="0"/>
              <w:right w:val="single" w:color="auto" w:sz="4" w:space="0"/>
            </w:tcBorders>
            <w:shd w:val="clear" w:color="auto" w:fill="auto"/>
            <w:vAlign w:val="center"/>
          </w:tcPr>
          <w:p>
            <w:pPr>
              <w:widowControl/>
              <w:ind w:firstLine="240" w:firstLineChars="10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2552" w:type="dxa"/>
            <w:gridSpan w:val="2"/>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099" w:hRule="atLeast"/>
        </w:trPr>
        <w:tc>
          <w:tcPr>
            <w:tcW w:w="2760" w:type="dxa"/>
            <w:tcBorders>
              <w:top w:val="nil"/>
              <w:left w:val="single" w:color="auto" w:sz="4" w:space="0"/>
              <w:bottom w:val="single" w:color="auto" w:sz="4" w:space="0"/>
              <w:right w:val="single" w:color="auto" w:sz="4" w:space="0"/>
            </w:tcBorders>
            <w:shd w:val="clear" w:color="auto" w:fill="auto"/>
            <w:vAlign w:val="center"/>
          </w:tcPr>
          <w:p>
            <w:pPr>
              <w:widowControl/>
              <w:ind w:firstLine="240" w:firstLineChars="10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（二）从国有资本经营预算调入</w:t>
            </w:r>
          </w:p>
        </w:tc>
        <w:tc>
          <w:tcPr>
            <w:tcW w:w="1962" w:type="dxa"/>
            <w:tcBorders>
              <w:top w:val="nil"/>
              <w:left w:val="nil"/>
              <w:bottom w:val="single" w:color="auto" w:sz="4" w:space="0"/>
              <w:right w:val="single" w:color="auto" w:sz="4" w:space="0"/>
            </w:tcBorders>
            <w:shd w:val="clear" w:color="auto" w:fill="auto"/>
            <w:vAlign w:val="center"/>
          </w:tcPr>
          <w:p>
            <w:pPr>
              <w:widowControl/>
              <w:ind w:firstLine="240" w:firstLineChars="100"/>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2,420</w:t>
            </w:r>
          </w:p>
        </w:tc>
        <w:tc>
          <w:tcPr>
            <w:tcW w:w="2126" w:type="dxa"/>
            <w:tcBorders>
              <w:top w:val="nil"/>
              <w:left w:val="nil"/>
              <w:bottom w:val="single" w:color="auto" w:sz="4" w:space="0"/>
              <w:right w:val="single" w:color="auto" w:sz="4" w:space="0"/>
            </w:tcBorders>
            <w:shd w:val="clear" w:color="auto" w:fill="auto"/>
            <w:vAlign w:val="center"/>
          </w:tcPr>
          <w:p>
            <w:pPr>
              <w:widowControl/>
              <w:ind w:firstLine="240" w:firstLineChars="10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2552" w:type="dxa"/>
            <w:gridSpan w:val="2"/>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285" w:hRule="atLeast"/>
        </w:trPr>
        <w:tc>
          <w:tcPr>
            <w:tcW w:w="2760" w:type="dxa"/>
            <w:tcBorders>
              <w:top w:val="nil"/>
              <w:left w:val="nil"/>
              <w:bottom w:val="nil"/>
              <w:right w:val="nil"/>
            </w:tcBorders>
            <w:shd w:val="clear" w:color="auto" w:fill="auto"/>
            <w:vAlign w:val="center"/>
          </w:tcPr>
          <w:p>
            <w:pPr>
              <w:widowControl/>
              <w:jc w:val="left"/>
              <w:rPr>
                <w:rFonts w:ascii="Calibri" w:hAnsi="Calibri" w:cs="宋体"/>
                <w:color w:val="000000"/>
                <w:kern w:val="0"/>
                <w:szCs w:val="21"/>
              </w:rPr>
            </w:pPr>
          </w:p>
        </w:tc>
        <w:tc>
          <w:tcPr>
            <w:tcW w:w="1962" w:type="dxa"/>
            <w:tcBorders>
              <w:top w:val="nil"/>
              <w:left w:val="nil"/>
              <w:bottom w:val="nil"/>
              <w:right w:val="nil"/>
            </w:tcBorders>
            <w:shd w:val="clear" w:color="auto" w:fill="auto"/>
            <w:vAlign w:val="center"/>
          </w:tcPr>
          <w:p>
            <w:pPr>
              <w:widowControl/>
              <w:jc w:val="left"/>
              <w:rPr>
                <w:rFonts w:ascii="Calibri" w:hAnsi="Calibri" w:cs="宋体"/>
                <w:color w:val="000000"/>
                <w:kern w:val="0"/>
                <w:szCs w:val="21"/>
              </w:rPr>
            </w:pPr>
          </w:p>
        </w:tc>
        <w:tc>
          <w:tcPr>
            <w:tcW w:w="2126" w:type="dxa"/>
            <w:tcBorders>
              <w:top w:val="nil"/>
              <w:left w:val="nil"/>
              <w:bottom w:val="nil"/>
              <w:right w:val="nil"/>
            </w:tcBorders>
            <w:shd w:val="clear" w:color="auto" w:fill="auto"/>
            <w:vAlign w:val="center"/>
          </w:tcPr>
          <w:p>
            <w:pPr>
              <w:widowControl/>
              <w:jc w:val="left"/>
              <w:rPr>
                <w:rFonts w:ascii="Calibri" w:hAnsi="Calibri" w:cs="宋体"/>
                <w:color w:val="000000"/>
                <w:kern w:val="0"/>
                <w:szCs w:val="21"/>
              </w:rPr>
            </w:pPr>
          </w:p>
        </w:tc>
        <w:tc>
          <w:tcPr>
            <w:tcW w:w="2552" w:type="dxa"/>
            <w:gridSpan w:val="2"/>
            <w:tcBorders>
              <w:top w:val="nil"/>
              <w:left w:val="nil"/>
              <w:bottom w:val="nil"/>
              <w:right w:val="nil"/>
            </w:tcBorders>
            <w:shd w:val="clear" w:color="auto" w:fill="auto"/>
            <w:vAlign w:val="center"/>
          </w:tcPr>
          <w:p>
            <w:pPr>
              <w:widowControl/>
              <w:jc w:val="left"/>
              <w:rPr>
                <w:rFonts w:ascii="Calibri" w:hAnsi="Calibri" w:cs="宋体"/>
                <w:color w:val="000000"/>
                <w:kern w:val="0"/>
                <w:szCs w:val="21"/>
              </w:rPr>
            </w:pPr>
          </w:p>
        </w:tc>
      </w:tr>
      <w:tr>
        <w:tblPrEx>
          <w:tblCellMar>
            <w:top w:w="0" w:type="dxa"/>
            <w:left w:w="108" w:type="dxa"/>
            <w:bottom w:w="0" w:type="dxa"/>
            <w:right w:w="108" w:type="dxa"/>
          </w:tblCellMar>
        </w:tblPrEx>
        <w:trPr>
          <w:trHeight w:val="405" w:hRule="atLeast"/>
        </w:trPr>
        <w:tc>
          <w:tcPr>
            <w:tcW w:w="2760" w:type="dxa"/>
            <w:tcBorders>
              <w:top w:val="nil"/>
              <w:left w:val="nil"/>
              <w:bottom w:val="nil"/>
              <w:right w:val="nil"/>
            </w:tcBorders>
            <w:shd w:val="clear" w:color="auto" w:fill="auto"/>
            <w:noWrap/>
            <w:vAlign w:val="center"/>
          </w:tcPr>
          <w:p>
            <w:pPr>
              <w:widowControl/>
              <w:jc w:val="left"/>
              <w:rPr>
                <w:rFonts w:ascii="仿宋_GB2312" w:hAnsi="宋体" w:eastAsia="仿宋_GB2312" w:cs="宋体"/>
                <w:b/>
                <w:bCs/>
                <w:color w:val="000000"/>
                <w:kern w:val="0"/>
                <w:sz w:val="32"/>
                <w:szCs w:val="32"/>
              </w:rPr>
            </w:pPr>
          </w:p>
        </w:tc>
        <w:tc>
          <w:tcPr>
            <w:tcW w:w="1962"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c>
          <w:tcPr>
            <w:tcW w:w="2126"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c>
          <w:tcPr>
            <w:tcW w:w="2552" w:type="dxa"/>
            <w:gridSpan w:val="2"/>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r>
    </w:tbl>
    <w:p>
      <w:pPr>
        <w:tabs>
          <w:tab w:val="left" w:pos="4070"/>
        </w:tabs>
        <w:spacing w:line="360" w:lineRule="auto"/>
        <w:jc w:val="left"/>
        <w:rPr>
          <w:rFonts w:ascii="仿宋_GB2312" w:eastAsia="仿宋_GB2312"/>
          <w:b/>
          <w:color w:val="000000" w:themeColor="text1"/>
          <w:sz w:val="32"/>
          <w:szCs w:val="32"/>
        </w:rPr>
      </w:pPr>
    </w:p>
    <w:p>
      <w:pPr>
        <w:tabs>
          <w:tab w:val="left" w:pos="4070"/>
        </w:tabs>
        <w:spacing w:line="360" w:lineRule="auto"/>
        <w:jc w:val="left"/>
        <w:rPr>
          <w:rFonts w:ascii="仿宋_GB2312" w:eastAsia="仿宋_GB2312"/>
          <w:b/>
          <w:color w:val="000000" w:themeColor="text1"/>
          <w:sz w:val="32"/>
          <w:szCs w:val="32"/>
        </w:rPr>
      </w:pPr>
    </w:p>
    <w:p>
      <w:pPr>
        <w:tabs>
          <w:tab w:val="left" w:pos="4070"/>
        </w:tabs>
        <w:spacing w:line="360" w:lineRule="auto"/>
        <w:jc w:val="left"/>
        <w:rPr>
          <w:rFonts w:ascii="仿宋_GB2312" w:eastAsia="仿宋_GB2312"/>
          <w:b/>
          <w:color w:val="000000" w:themeColor="text1"/>
          <w:sz w:val="32"/>
          <w:szCs w:val="32"/>
        </w:rPr>
      </w:pPr>
    </w:p>
    <w:p>
      <w:pPr>
        <w:tabs>
          <w:tab w:val="left" w:pos="4070"/>
        </w:tabs>
        <w:spacing w:line="360" w:lineRule="auto"/>
        <w:jc w:val="left"/>
        <w:rPr>
          <w:rFonts w:ascii="仿宋_GB2312" w:eastAsia="仿宋_GB2312"/>
          <w:b/>
          <w:color w:val="000000" w:themeColor="text1"/>
          <w:sz w:val="32"/>
          <w:szCs w:val="32"/>
        </w:rPr>
      </w:pPr>
    </w:p>
    <w:tbl>
      <w:tblPr>
        <w:tblStyle w:val="15"/>
        <w:tblW w:w="8804" w:type="dxa"/>
        <w:tblInd w:w="93" w:type="dxa"/>
        <w:tblLayout w:type="autofit"/>
        <w:tblCellMar>
          <w:top w:w="0" w:type="dxa"/>
          <w:left w:w="108" w:type="dxa"/>
          <w:bottom w:w="0" w:type="dxa"/>
          <w:right w:w="108" w:type="dxa"/>
        </w:tblCellMar>
      </w:tblPr>
      <w:tblGrid>
        <w:gridCol w:w="2440"/>
        <w:gridCol w:w="3529"/>
        <w:gridCol w:w="2835"/>
      </w:tblGrid>
      <w:tr>
        <w:tblPrEx>
          <w:tblCellMar>
            <w:top w:w="0" w:type="dxa"/>
            <w:left w:w="108" w:type="dxa"/>
            <w:bottom w:w="0" w:type="dxa"/>
            <w:right w:w="108" w:type="dxa"/>
          </w:tblCellMar>
        </w:tblPrEx>
        <w:trPr>
          <w:trHeight w:val="990" w:hRule="atLeast"/>
        </w:trPr>
        <w:tc>
          <w:tcPr>
            <w:tcW w:w="8804" w:type="dxa"/>
            <w:gridSpan w:val="3"/>
            <w:tcBorders>
              <w:top w:val="nil"/>
              <w:left w:val="nil"/>
              <w:bottom w:val="nil"/>
              <w:right w:val="nil"/>
            </w:tcBorders>
            <w:shd w:val="clear" w:color="auto" w:fill="auto"/>
            <w:noWrap/>
            <w:vAlign w:val="center"/>
          </w:tcPr>
          <w:p>
            <w:pPr>
              <w:pStyle w:val="4"/>
              <w:jc w:val="center"/>
              <w:rPr>
                <w:rFonts w:ascii="仿宋_GB2312" w:eastAsia="仿宋_GB2312"/>
                <w:color w:val="000000" w:themeColor="text1"/>
              </w:rPr>
            </w:pPr>
            <w:bookmarkStart w:id="13" w:name="_Toc60125995"/>
            <w:bookmarkStart w:id="14" w:name="RANGE!A1"/>
            <w:r>
              <w:rPr>
                <w:rFonts w:hint="eastAsia" w:ascii="仿宋_GB2312" w:eastAsia="仿宋_GB2312"/>
                <w:color w:val="000000" w:themeColor="text1"/>
              </w:rPr>
              <w:t>§3  2021年区本级一般公共预算收入表</w:t>
            </w:r>
            <w:bookmarkEnd w:id="13"/>
            <w:bookmarkEnd w:id="14"/>
          </w:p>
        </w:tc>
      </w:tr>
      <w:tr>
        <w:tblPrEx>
          <w:tblCellMar>
            <w:top w:w="0" w:type="dxa"/>
            <w:left w:w="108" w:type="dxa"/>
            <w:bottom w:w="0" w:type="dxa"/>
            <w:right w:w="108" w:type="dxa"/>
          </w:tblCellMar>
        </w:tblPrEx>
        <w:trPr>
          <w:trHeight w:val="405" w:hRule="atLeast"/>
        </w:trPr>
        <w:tc>
          <w:tcPr>
            <w:tcW w:w="2440" w:type="dxa"/>
            <w:tcBorders>
              <w:top w:val="nil"/>
              <w:left w:val="nil"/>
              <w:bottom w:val="nil"/>
              <w:right w:val="nil"/>
            </w:tcBorders>
            <w:shd w:val="clear" w:color="auto" w:fill="auto"/>
            <w:noWrap/>
            <w:vAlign w:val="center"/>
          </w:tcPr>
          <w:p>
            <w:pPr>
              <w:widowControl/>
              <w:jc w:val="right"/>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 xml:space="preserve"> </w:t>
            </w:r>
          </w:p>
        </w:tc>
        <w:tc>
          <w:tcPr>
            <w:tcW w:w="3529"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c>
          <w:tcPr>
            <w:tcW w:w="2835" w:type="dxa"/>
            <w:tcBorders>
              <w:top w:val="nil"/>
              <w:left w:val="nil"/>
              <w:bottom w:val="nil"/>
              <w:right w:val="nil"/>
            </w:tcBorders>
            <w:shd w:val="clear" w:color="auto" w:fill="auto"/>
            <w:noWrap/>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单位：万元</w:t>
            </w:r>
          </w:p>
        </w:tc>
      </w:tr>
      <w:tr>
        <w:tblPrEx>
          <w:tblCellMar>
            <w:top w:w="0" w:type="dxa"/>
            <w:left w:w="108" w:type="dxa"/>
            <w:bottom w:w="0" w:type="dxa"/>
            <w:right w:w="108" w:type="dxa"/>
          </w:tblCellMar>
        </w:tblPrEx>
        <w:trPr>
          <w:trHeight w:val="499" w:hRule="atLeast"/>
        </w:trPr>
        <w:tc>
          <w:tcPr>
            <w:tcW w:w="2440" w:type="dxa"/>
            <w:tcBorders>
              <w:top w:val="single" w:color="auto" w:sz="8" w:space="0"/>
              <w:left w:val="single" w:color="auto" w:sz="8" w:space="0"/>
              <w:bottom w:val="single" w:color="auto" w:sz="8" w:space="0"/>
              <w:right w:val="single" w:color="auto" w:sz="8" w:space="0"/>
            </w:tcBorders>
            <w:shd w:val="clear" w:color="auto" w:fill="auto"/>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科目编码</w:t>
            </w:r>
          </w:p>
        </w:tc>
        <w:tc>
          <w:tcPr>
            <w:tcW w:w="3529" w:type="dxa"/>
            <w:tcBorders>
              <w:top w:val="single" w:color="auto" w:sz="8" w:space="0"/>
              <w:left w:val="nil"/>
              <w:bottom w:val="single" w:color="auto" w:sz="8" w:space="0"/>
              <w:right w:val="single" w:color="auto" w:sz="8" w:space="0"/>
            </w:tcBorders>
            <w:shd w:val="clear" w:color="auto" w:fill="auto"/>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科目名称</w:t>
            </w:r>
          </w:p>
        </w:tc>
        <w:tc>
          <w:tcPr>
            <w:tcW w:w="2835" w:type="dxa"/>
            <w:tcBorders>
              <w:top w:val="single" w:color="auto" w:sz="8" w:space="0"/>
              <w:left w:val="nil"/>
              <w:bottom w:val="single" w:color="auto" w:sz="8" w:space="0"/>
              <w:right w:val="single" w:color="auto" w:sz="8" w:space="0"/>
            </w:tcBorders>
            <w:shd w:val="clear" w:color="auto" w:fill="auto"/>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2021年预算</w:t>
            </w:r>
          </w:p>
        </w:tc>
      </w:tr>
      <w:tr>
        <w:tblPrEx>
          <w:tblCellMar>
            <w:top w:w="0" w:type="dxa"/>
            <w:left w:w="108" w:type="dxa"/>
            <w:bottom w:w="0" w:type="dxa"/>
            <w:right w:w="108" w:type="dxa"/>
          </w:tblCellMar>
        </w:tblPrEx>
        <w:trPr>
          <w:trHeight w:val="499" w:hRule="atLeast"/>
        </w:trPr>
        <w:tc>
          <w:tcPr>
            <w:tcW w:w="2440" w:type="dxa"/>
            <w:tcBorders>
              <w:top w:val="nil"/>
              <w:left w:val="single" w:color="auto" w:sz="8" w:space="0"/>
              <w:bottom w:val="single" w:color="auto" w:sz="8" w:space="0"/>
              <w:right w:val="single" w:color="auto" w:sz="8" w:space="0"/>
            </w:tcBorders>
            <w:shd w:val="clear" w:color="auto" w:fill="auto"/>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101</w:t>
            </w:r>
          </w:p>
        </w:tc>
        <w:tc>
          <w:tcPr>
            <w:tcW w:w="3529" w:type="dxa"/>
            <w:tcBorders>
              <w:top w:val="nil"/>
              <w:left w:val="nil"/>
              <w:bottom w:val="single" w:color="auto" w:sz="8" w:space="0"/>
              <w:right w:val="single" w:color="auto" w:sz="8" w:space="0"/>
            </w:tcBorders>
            <w:shd w:val="clear" w:color="auto" w:fill="auto"/>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税收收入</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26,000</w:t>
            </w:r>
          </w:p>
        </w:tc>
      </w:tr>
      <w:tr>
        <w:tblPrEx>
          <w:tblCellMar>
            <w:top w:w="0" w:type="dxa"/>
            <w:left w:w="108" w:type="dxa"/>
            <w:bottom w:w="0" w:type="dxa"/>
            <w:right w:w="108" w:type="dxa"/>
          </w:tblCellMar>
        </w:tblPrEx>
        <w:trPr>
          <w:trHeight w:val="499" w:hRule="atLeast"/>
        </w:trPr>
        <w:tc>
          <w:tcPr>
            <w:tcW w:w="2440" w:type="dxa"/>
            <w:tcBorders>
              <w:top w:val="nil"/>
              <w:left w:val="single" w:color="auto" w:sz="8" w:space="0"/>
              <w:bottom w:val="single" w:color="auto" w:sz="8" w:space="0"/>
              <w:right w:val="single" w:color="auto" w:sz="8" w:space="0"/>
            </w:tcBorders>
            <w:shd w:val="clear" w:color="auto" w:fill="auto"/>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10101</w:t>
            </w:r>
          </w:p>
        </w:tc>
        <w:tc>
          <w:tcPr>
            <w:tcW w:w="3529" w:type="dxa"/>
            <w:tcBorders>
              <w:top w:val="nil"/>
              <w:left w:val="nil"/>
              <w:bottom w:val="single" w:color="auto" w:sz="8" w:space="0"/>
              <w:right w:val="single" w:color="auto" w:sz="8" w:space="0"/>
            </w:tcBorders>
            <w:shd w:val="clear" w:color="auto" w:fill="auto"/>
          </w:tcPr>
          <w:p>
            <w:pPr>
              <w:widowControl/>
              <w:rPr>
                <w:rFonts w:ascii="仿宋" w:hAnsi="仿宋" w:eastAsia="仿宋" w:cs="宋体"/>
                <w:color w:val="000000"/>
                <w:kern w:val="0"/>
                <w:sz w:val="24"/>
              </w:rPr>
            </w:pPr>
            <w:r>
              <w:rPr>
                <w:rFonts w:hint="eastAsia" w:ascii="仿宋" w:hAnsi="仿宋" w:eastAsia="仿宋" w:cs="宋体"/>
                <w:color w:val="000000"/>
                <w:kern w:val="0"/>
                <w:sz w:val="24"/>
              </w:rPr>
              <w:t>增值税</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5,750</w:t>
            </w:r>
          </w:p>
        </w:tc>
      </w:tr>
      <w:tr>
        <w:tblPrEx>
          <w:tblCellMar>
            <w:top w:w="0" w:type="dxa"/>
            <w:left w:w="108" w:type="dxa"/>
            <w:bottom w:w="0" w:type="dxa"/>
            <w:right w:w="108" w:type="dxa"/>
          </w:tblCellMar>
        </w:tblPrEx>
        <w:trPr>
          <w:trHeight w:val="499" w:hRule="atLeast"/>
        </w:trPr>
        <w:tc>
          <w:tcPr>
            <w:tcW w:w="2440" w:type="dxa"/>
            <w:tcBorders>
              <w:top w:val="nil"/>
              <w:left w:val="single" w:color="auto" w:sz="8" w:space="0"/>
              <w:bottom w:val="single" w:color="auto" w:sz="8" w:space="0"/>
              <w:right w:val="single" w:color="auto" w:sz="8" w:space="0"/>
            </w:tcBorders>
            <w:shd w:val="clear" w:color="auto" w:fill="auto"/>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10104</w:t>
            </w:r>
          </w:p>
        </w:tc>
        <w:tc>
          <w:tcPr>
            <w:tcW w:w="3529" w:type="dxa"/>
            <w:tcBorders>
              <w:top w:val="nil"/>
              <w:left w:val="nil"/>
              <w:bottom w:val="single" w:color="auto" w:sz="8" w:space="0"/>
              <w:right w:val="single" w:color="auto" w:sz="8" w:space="0"/>
            </w:tcBorders>
            <w:shd w:val="clear" w:color="auto" w:fill="auto"/>
          </w:tcPr>
          <w:p>
            <w:pPr>
              <w:widowControl/>
              <w:rPr>
                <w:rFonts w:ascii="仿宋" w:hAnsi="仿宋" w:eastAsia="仿宋" w:cs="宋体"/>
                <w:color w:val="000000"/>
                <w:kern w:val="0"/>
                <w:sz w:val="24"/>
              </w:rPr>
            </w:pPr>
            <w:r>
              <w:rPr>
                <w:rFonts w:hint="eastAsia" w:ascii="仿宋" w:hAnsi="仿宋" w:eastAsia="仿宋" w:cs="宋体"/>
                <w:color w:val="000000"/>
                <w:kern w:val="0"/>
                <w:sz w:val="24"/>
              </w:rPr>
              <w:t>企业所得税</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2,800</w:t>
            </w:r>
          </w:p>
        </w:tc>
      </w:tr>
      <w:tr>
        <w:tblPrEx>
          <w:tblCellMar>
            <w:top w:w="0" w:type="dxa"/>
            <w:left w:w="108" w:type="dxa"/>
            <w:bottom w:w="0" w:type="dxa"/>
            <w:right w:w="108" w:type="dxa"/>
          </w:tblCellMar>
        </w:tblPrEx>
        <w:trPr>
          <w:trHeight w:val="499" w:hRule="atLeast"/>
        </w:trPr>
        <w:tc>
          <w:tcPr>
            <w:tcW w:w="2440" w:type="dxa"/>
            <w:tcBorders>
              <w:top w:val="nil"/>
              <w:left w:val="single" w:color="auto" w:sz="8" w:space="0"/>
              <w:bottom w:val="single" w:color="auto" w:sz="8" w:space="0"/>
              <w:right w:val="single" w:color="auto" w:sz="8" w:space="0"/>
            </w:tcBorders>
            <w:shd w:val="clear" w:color="auto" w:fill="auto"/>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10106</w:t>
            </w:r>
          </w:p>
        </w:tc>
        <w:tc>
          <w:tcPr>
            <w:tcW w:w="3529" w:type="dxa"/>
            <w:tcBorders>
              <w:top w:val="nil"/>
              <w:left w:val="nil"/>
              <w:bottom w:val="single" w:color="auto" w:sz="8" w:space="0"/>
              <w:right w:val="single" w:color="auto" w:sz="8" w:space="0"/>
            </w:tcBorders>
            <w:shd w:val="clear" w:color="auto" w:fill="auto"/>
          </w:tcPr>
          <w:p>
            <w:pPr>
              <w:widowControl/>
              <w:rPr>
                <w:rFonts w:ascii="仿宋" w:hAnsi="仿宋" w:eastAsia="仿宋" w:cs="宋体"/>
                <w:color w:val="000000"/>
                <w:kern w:val="0"/>
                <w:sz w:val="24"/>
              </w:rPr>
            </w:pPr>
            <w:r>
              <w:rPr>
                <w:rFonts w:hint="eastAsia" w:ascii="仿宋" w:hAnsi="仿宋" w:eastAsia="仿宋" w:cs="宋体"/>
                <w:color w:val="000000"/>
                <w:kern w:val="0"/>
                <w:sz w:val="24"/>
              </w:rPr>
              <w:t>个人所得税</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420</w:t>
            </w:r>
          </w:p>
        </w:tc>
      </w:tr>
      <w:tr>
        <w:tblPrEx>
          <w:tblCellMar>
            <w:top w:w="0" w:type="dxa"/>
            <w:left w:w="108" w:type="dxa"/>
            <w:bottom w:w="0" w:type="dxa"/>
            <w:right w:w="108" w:type="dxa"/>
          </w:tblCellMar>
        </w:tblPrEx>
        <w:trPr>
          <w:trHeight w:val="499" w:hRule="atLeast"/>
        </w:trPr>
        <w:tc>
          <w:tcPr>
            <w:tcW w:w="2440" w:type="dxa"/>
            <w:tcBorders>
              <w:top w:val="nil"/>
              <w:left w:val="single" w:color="auto" w:sz="8" w:space="0"/>
              <w:bottom w:val="single" w:color="auto" w:sz="8" w:space="0"/>
              <w:right w:val="single" w:color="auto" w:sz="8" w:space="0"/>
            </w:tcBorders>
            <w:shd w:val="clear" w:color="auto" w:fill="auto"/>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10109</w:t>
            </w:r>
          </w:p>
        </w:tc>
        <w:tc>
          <w:tcPr>
            <w:tcW w:w="3529" w:type="dxa"/>
            <w:tcBorders>
              <w:top w:val="nil"/>
              <w:left w:val="nil"/>
              <w:bottom w:val="single" w:color="auto" w:sz="8" w:space="0"/>
              <w:right w:val="single" w:color="auto" w:sz="8" w:space="0"/>
            </w:tcBorders>
            <w:shd w:val="clear" w:color="auto" w:fill="auto"/>
          </w:tcPr>
          <w:p>
            <w:pPr>
              <w:widowControl/>
              <w:rPr>
                <w:rFonts w:ascii="仿宋" w:hAnsi="仿宋" w:eastAsia="仿宋" w:cs="宋体"/>
                <w:color w:val="000000"/>
                <w:kern w:val="0"/>
                <w:sz w:val="24"/>
              </w:rPr>
            </w:pPr>
            <w:r>
              <w:rPr>
                <w:rFonts w:hint="eastAsia" w:ascii="仿宋" w:hAnsi="仿宋" w:eastAsia="仿宋" w:cs="宋体"/>
                <w:color w:val="000000"/>
                <w:kern w:val="0"/>
                <w:sz w:val="24"/>
              </w:rPr>
              <w:t>城市维护建设税</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2,000</w:t>
            </w:r>
          </w:p>
        </w:tc>
      </w:tr>
      <w:tr>
        <w:tblPrEx>
          <w:tblCellMar>
            <w:top w:w="0" w:type="dxa"/>
            <w:left w:w="108" w:type="dxa"/>
            <w:bottom w:w="0" w:type="dxa"/>
            <w:right w:w="108" w:type="dxa"/>
          </w:tblCellMar>
        </w:tblPrEx>
        <w:trPr>
          <w:trHeight w:val="499" w:hRule="atLeast"/>
        </w:trPr>
        <w:tc>
          <w:tcPr>
            <w:tcW w:w="2440" w:type="dxa"/>
            <w:tcBorders>
              <w:top w:val="nil"/>
              <w:left w:val="single" w:color="auto" w:sz="8" w:space="0"/>
              <w:bottom w:val="single" w:color="auto" w:sz="8" w:space="0"/>
              <w:right w:val="single" w:color="auto" w:sz="8" w:space="0"/>
            </w:tcBorders>
            <w:shd w:val="clear" w:color="auto" w:fill="auto"/>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10110</w:t>
            </w:r>
          </w:p>
        </w:tc>
        <w:tc>
          <w:tcPr>
            <w:tcW w:w="3529" w:type="dxa"/>
            <w:tcBorders>
              <w:top w:val="nil"/>
              <w:left w:val="nil"/>
              <w:bottom w:val="single" w:color="auto" w:sz="8" w:space="0"/>
              <w:right w:val="single" w:color="auto" w:sz="8" w:space="0"/>
            </w:tcBorders>
            <w:shd w:val="clear" w:color="auto" w:fill="auto"/>
          </w:tcPr>
          <w:p>
            <w:pPr>
              <w:widowControl/>
              <w:rPr>
                <w:rFonts w:ascii="仿宋" w:hAnsi="仿宋" w:eastAsia="仿宋" w:cs="宋体"/>
                <w:color w:val="000000"/>
                <w:kern w:val="0"/>
                <w:sz w:val="24"/>
              </w:rPr>
            </w:pPr>
            <w:r>
              <w:rPr>
                <w:rFonts w:hint="eastAsia" w:ascii="仿宋" w:hAnsi="仿宋" w:eastAsia="仿宋" w:cs="宋体"/>
                <w:color w:val="000000"/>
                <w:kern w:val="0"/>
                <w:sz w:val="24"/>
              </w:rPr>
              <w:t>房产税</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4,205</w:t>
            </w:r>
          </w:p>
        </w:tc>
      </w:tr>
      <w:tr>
        <w:tblPrEx>
          <w:tblCellMar>
            <w:top w:w="0" w:type="dxa"/>
            <w:left w:w="108" w:type="dxa"/>
            <w:bottom w:w="0" w:type="dxa"/>
            <w:right w:w="108" w:type="dxa"/>
          </w:tblCellMar>
        </w:tblPrEx>
        <w:trPr>
          <w:trHeight w:val="499" w:hRule="atLeast"/>
        </w:trPr>
        <w:tc>
          <w:tcPr>
            <w:tcW w:w="2440" w:type="dxa"/>
            <w:tcBorders>
              <w:top w:val="nil"/>
              <w:left w:val="single" w:color="auto" w:sz="8" w:space="0"/>
              <w:bottom w:val="single" w:color="auto" w:sz="8" w:space="0"/>
              <w:right w:val="single" w:color="auto" w:sz="8" w:space="0"/>
            </w:tcBorders>
            <w:shd w:val="clear" w:color="auto" w:fill="auto"/>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10111</w:t>
            </w:r>
          </w:p>
        </w:tc>
        <w:tc>
          <w:tcPr>
            <w:tcW w:w="3529" w:type="dxa"/>
            <w:tcBorders>
              <w:top w:val="nil"/>
              <w:left w:val="nil"/>
              <w:bottom w:val="single" w:color="auto" w:sz="8" w:space="0"/>
              <w:right w:val="single" w:color="auto" w:sz="8" w:space="0"/>
            </w:tcBorders>
            <w:shd w:val="clear" w:color="auto" w:fill="auto"/>
          </w:tcPr>
          <w:p>
            <w:pPr>
              <w:widowControl/>
              <w:rPr>
                <w:rFonts w:ascii="仿宋" w:hAnsi="仿宋" w:eastAsia="仿宋" w:cs="宋体"/>
                <w:color w:val="000000"/>
                <w:kern w:val="0"/>
                <w:sz w:val="24"/>
              </w:rPr>
            </w:pPr>
            <w:r>
              <w:rPr>
                <w:rFonts w:hint="eastAsia" w:ascii="仿宋" w:hAnsi="仿宋" w:eastAsia="仿宋" w:cs="宋体"/>
                <w:color w:val="000000"/>
                <w:kern w:val="0"/>
                <w:sz w:val="24"/>
              </w:rPr>
              <w:t>印花税</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1,200</w:t>
            </w:r>
          </w:p>
        </w:tc>
      </w:tr>
      <w:tr>
        <w:tblPrEx>
          <w:tblCellMar>
            <w:top w:w="0" w:type="dxa"/>
            <w:left w:w="108" w:type="dxa"/>
            <w:bottom w:w="0" w:type="dxa"/>
            <w:right w:w="108" w:type="dxa"/>
          </w:tblCellMar>
        </w:tblPrEx>
        <w:trPr>
          <w:trHeight w:val="499" w:hRule="atLeast"/>
        </w:trPr>
        <w:tc>
          <w:tcPr>
            <w:tcW w:w="2440" w:type="dxa"/>
            <w:tcBorders>
              <w:top w:val="nil"/>
              <w:left w:val="single" w:color="auto" w:sz="8" w:space="0"/>
              <w:bottom w:val="single" w:color="auto" w:sz="8" w:space="0"/>
              <w:right w:val="single" w:color="auto" w:sz="8" w:space="0"/>
            </w:tcBorders>
            <w:shd w:val="clear" w:color="auto" w:fill="auto"/>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10112</w:t>
            </w:r>
          </w:p>
        </w:tc>
        <w:tc>
          <w:tcPr>
            <w:tcW w:w="3529" w:type="dxa"/>
            <w:tcBorders>
              <w:top w:val="nil"/>
              <w:left w:val="nil"/>
              <w:bottom w:val="single" w:color="auto" w:sz="8" w:space="0"/>
              <w:right w:val="single" w:color="auto" w:sz="8" w:space="0"/>
            </w:tcBorders>
            <w:shd w:val="clear" w:color="auto" w:fill="auto"/>
          </w:tcPr>
          <w:p>
            <w:pPr>
              <w:widowControl/>
              <w:rPr>
                <w:rFonts w:ascii="仿宋" w:hAnsi="仿宋" w:eastAsia="仿宋" w:cs="宋体"/>
                <w:color w:val="000000"/>
                <w:kern w:val="0"/>
                <w:sz w:val="24"/>
              </w:rPr>
            </w:pPr>
            <w:r>
              <w:rPr>
                <w:rFonts w:hint="eastAsia" w:ascii="仿宋" w:hAnsi="仿宋" w:eastAsia="仿宋" w:cs="宋体"/>
                <w:color w:val="000000"/>
                <w:kern w:val="0"/>
                <w:sz w:val="24"/>
              </w:rPr>
              <w:t>城镇土地使用税</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5,700</w:t>
            </w:r>
          </w:p>
        </w:tc>
      </w:tr>
      <w:tr>
        <w:tblPrEx>
          <w:tblCellMar>
            <w:top w:w="0" w:type="dxa"/>
            <w:left w:w="108" w:type="dxa"/>
            <w:bottom w:w="0" w:type="dxa"/>
            <w:right w:w="108" w:type="dxa"/>
          </w:tblCellMar>
        </w:tblPrEx>
        <w:trPr>
          <w:trHeight w:val="499" w:hRule="atLeast"/>
        </w:trPr>
        <w:tc>
          <w:tcPr>
            <w:tcW w:w="2440" w:type="dxa"/>
            <w:tcBorders>
              <w:top w:val="nil"/>
              <w:left w:val="single" w:color="auto" w:sz="8" w:space="0"/>
              <w:bottom w:val="single" w:color="auto" w:sz="8" w:space="0"/>
              <w:right w:val="single" w:color="auto" w:sz="8" w:space="0"/>
            </w:tcBorders>
            <w:shd w:val="clear" w:color="auto" w:fill="auto"/>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10118</w:t>
            </w:r>
          </w:p>
        </w:tc>
        <w:tc>
          <w:tcPr>
            <w:tcW w:w="3529" w:type="dxa"/>
            <w:tcBorders>
              <w:top w:val="nil"/>
              <w:left w:val="nil"/>
              <w:bottom w:val="single" w:color="auto" w:sz="8" w:space="0"/>
              <w:right w:val="single" w:color="auto" w:sz="8" w:space="0"/>
            </w:tcBorders>
            <w:shd w:val="clear" w:color="auto" w:fill="auto"/>
          </w:tcPr>
          <w:p>
            <w:pPr>
              <w:widowControl/>
              <w:rPr>
                <w:rFonts w:ascii="仿宋" w:hAnsi="仿宋" w:eastAsia="仿宋" w:cs="宋体"/>
                <w:color w:val="000000"/>
                <w:kern w:val="0"/>
                <w:sz w:val="24"/>
              </w:rPr>
            </w:pPr>
            <w:r>
              <w:rPr>
                <w:rFonts w:hint="eastAsia" w:ascii="仿宋" w:hAnsi="仿宋" w:eastAsia="仿宋" w:cs="宋体"/>
                <w:color w:val="000000"/>
                <w:kern w:val="0"/>
                <w:sz w:val="24"/>
              </w:rPr>
              <w:t>耕地占用税</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1,000</w:t>
            </w:r>
          </w:p>
        </w:tc>
      </w:tr>
      <w:tr>
        <w:tblPrEx>
          <w:tblCellMar>
            <w:top w:w="0" w:type="dxa"/>
            <w:left w:w="108" w:type="dxa"/>
            <w:bottom w:w="0" w:type="dxa"/>
            <w:right w:w="108" w:type="dxa"/>
          </w:tblCellMar>
        </w:tblPrEx>
        <w:trPr>
          <w:trHeight w:val="499" w:hRule="atLeast"/>
        </w:trPr>
        <w:tc>
          <w:tcPr>
            <w:tcW w:w="2440" w:type="dxa"/>
            <w:tcBorders>
              <w:top w:val="nil"/>
              <w:left w:val="single" w:color="auto" w:sz="8" w:space="0"/>
              <w:bottom w:val="single" w:color="auto" w:sz="8" w:space="0"/>
              <w:right w:val="single" w:color="auto" w:sz="8" w:space="0"/>
            </w:tcBorders>
            <w:shd w:val="clear" w:color="auto" w:fill="auto"/>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10119</w:t>
            </w:r>
          </w:p>
        </w:tc>
        <w:tc>
          <w:tcPr>
            <w:tcW w:w="3529" w:type="dxa"/>
            <w:tcBorders>
              <w:top w:val="nil"/>
              <w:left w:val="nil"/>
              <w:bottom w:val="single" w:color="auto" w:sz="8" w:space="0"/>
              <w:right w:val="single" w:color="auto" w:sz="8" w:space="0"/>
            </w:tcBorders>
            <w:shd w:val="clear" w:color="auto" w:fill="auto"/>
          </w:tcPr>
          <w:p>
            <w:pPr>
              <w:widowControl/>
              <w:rPr>
                <w:rFonts w:ascii="仿宋" w:hAnsi="仿宋" w:eastAsia="仿宋" w:cs="宋体"/>
                <w:color w:val="000000"/>
                <w:kern w:val="0"/>
                <w:sz w:val="24"/>
              </w:rPr>
            </w:pPr>
            <w:r>
              <w:rPr>
                <w:rFonts w:hint="eastAsia" w:ascii="仿宋" w:hAnsi="仿宋" w:eastAsia="仿宋" w:cs="宋体"/>
                <w:color w:val="000000"/>
                <w:kern w:val="0"/>
                <w:sz w:val="24"/>
              </w:rPr>
              <w:t>契税</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2,500</w:t>
            </w:r>
          </w:p>
        </w:tc>
      </w:tr>
      <w:tr>
        <w:tblPrEx>
          <w:tblCellMar>
            <w:top w:w="0" w:type="dxa"/>
            <w:left w:w="108" w:type="dxa"/>
            <w:bottom w:w="0" w:type="dxa"/>
            <w:right w:w="108" w:type="dxa"/>
          </w:tblCellMar>
        </w:tblPrEx>
        <w:trPr>
          <w:trHeight w:val="499" w:hRule="atLeast"/>
        </w:trPr>
        <w:tc>
          <w:tcPr>
            <w:tcW w:w="2440" w:type="dxa"/>
            <w:tcBorders>
              <w:top w:val="nil"/>
              <w:left w:val="single" w:color="auto" w:sz="8" w:space="0"/>
              <w:bottom w:val="single" w:color="auto" w:sz="8" w:space="0"/>
              <w:right w:val="single" w:color="auto" w:sz="8" w:space="0"/>
            </w:tcBorders>
            <w:shd w:val="clear" w:color="auto" w:fill="auto"/>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10199</w:t>
            </w:r>
          </w:p>
        </w:tc>
        <w:tc>
          <w:tcPr>
            <w:tcW w:w="3529" w:type="dxa"/>
            <w:tcBorders>
              <w:top w:val="nil"/>
              <w:left w:val="nil"/>
              <w:bottom w:val="single" w:color="auto" w:sz="8" w:space="0"/>
              <w:right w:val="single" w:color="auto" w:sz="8" w:space="0"/>
            </w:tcBorders>
            <w:shd w:val="clear" w:color="auto" w:fill="auto"/>
          </w:tcPr>
          <w:p>
            <w:pPr>
              <w:widowControl/>
              <w:rPr>
                <w:rFonts w:ascii="仿宋" w:hAnsi="仿宋" w:eastAsia="仿宋" w:cs="宋体"/>
                <w:color w:val="000000"/>
                <w:kern w:val="0"/>
                <w:sz w:val="24"/>
              </w:rPr>
            </w:pPr>
            <w:r>
              <w:rPr>
                <w:rFonts w:hint="eastAsia" w:ascii="仿宋" w:hAnsi="仿宋" w:eastAsia="仿宋" w:cs="宋体"/>
                <w:color w:val="000000"/>
                <w:kern w:val="0"/>
                <w:sz w:val="24"/>
              </w:rPr>
              <w:t>环保税</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425</w:t>
            </w:r>
          </w:p>
        </w:tc>
      </w:tr>
      <w:tr>
        <w:tblPrEx>
          <w:tblCellMar>
            <w:top w:w="0" w:type="dxa"/>
            <w:left w:w="108" w:type="dxa"/>
            <w:bottom w:w="0" w:type="dxa"/>
            <w:right w:w="108" w:type="dxa"/>
          </w:tblCellMar>
        </w:tblPrEx>
        <w:trPr>
          <w:trHeight w:val="499" w:hRule="atLeast"/>
        </w:trPr>
        <w:tc>
          <w:tcPr>
            <w:tcW w:w="2440" w:type="dxa"/>
            <w:tcBorders>
              <w:top w:val="nil"/>
              <w:left w:val="single" w:color="auto" w:sz="8" w:space="0"/>
              <w:bottom w:val="single" w:color="auto" w:sz="8" w:space="0"/>
              <w:right w:val="single" w:color="auto" w:sz="8" w:space="0"/>
            </w:tcBorders>
            <w:shd w:val="clear" w:color="auto" w:fill="auto"/>
          </w:tcPr>
          <w:p>
            <w:pPr>
              <w:widowControl/>
              <w:rPr>
                <w:rFonts w:ascii="仿宋" w:hAnsi="仿宋" w:eastAsia="仿宋" w:cs="宋体"/>
                <w:b/>
                <w:bCs/>
                <w:color w:val="000000"/>
                <w:kern w:val="0"/>
                <w:sz w:val="24"/>
              </w:rPr>
            </w:pPr>
            <w:r>
              <w:rPr>
                <w:rFonts w:hint="eastAsia" w:ascii="仿宋" w:hAnsi="仿宋" w:eastAsia="仿宋" w:cs="宋体"/>
                <w:b/>
                <w:bCs/>
                <w:color w:val="000000"/>
                <w:kern w:val="0"/>
                <w:sz w:val="24"/>
              </w:rPr>
              <w:t>103</w:t>
            </w:r>
          </w:p>
        </w:tc>
        <w:tc>
          <w:tcPr>
            <w:tcW w:w="3529" w:type="dxa"/>
            <w:tcBorders>
              <w:top w:val="nil"/>
              <w:left w:val="nil"/>
              <w:bottom w:val="single" w:color="auto" w:sz="8" w:space="0"/>
              <w:right w:val="single" w:color="auto" w:sz="8" w:space="0"/>
            </w:tcBorders>
            <w:shd w:val="clear" w:color="auto" w:fill="auto"/>
          </w:tcPr>
          <w:p>
            <w:pPr>
              <w:widowControl/>
              <w:rPr>
                <w:rFonts w:ascii="仿宋" w:hAnsi="仿宋" w:eastAsia="仿宋" w:cs="宋体"/>
                <w:b/>
                <w:bCs/>
                <w:color w:val="000000"/>
                <w:kern w:val="0"/>
                <w:sz w:val="24"/>
              </w:rPr>
            </w:pPr>
            <w:r>
              <w:rPr>
                <w:rFonts w:hint="eastAsia" w:ascii="仿宋" w:hAnsi="仿宋" w:eastAsia="仿宋" w:cs="宋体"/>
                <w:b/>
                <w:bCs/>
                <w:color w:val="000000"/>
                <w:kern w:val="0"/>
                <w:sz w:val="24"/>
              </w:rPr>
              <w:t>非税收入</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37,800</w:t>
            </w:r>
          </w:p>
        </w:tc>
      </w:tr>
      <w:tr>
        <w:tblPrEx>
          <w:tblCellMar>
            <w:top w:w="0" w:type="dxa"/>
            <w:left w:w="108" w:type="dxa"/>
            <w:bottom w:w="0" w:type="dxa"/>
            <w:right w:w="108" w:type="dxa"/>
          </w:tblCellMar>
        </w:tblPrEx>
        <w:trPr>
          <w:trHeight w:val="499" w:hRule="atLeast"/>
        </w:trPr>
        <w:tc>
          <w:tcPr>
            <w:tcW w:w="2440" w:type="dxa"/>
            <w:tcBorders>
              <w:top w:val="nil"/>
              <w:left w:val="single" w:color="auto" w:sz="8" w:space="0"/>
              <w:bottom w:val="single" w:color="auto" w:sz="8" w:space="0"/>
              <w:right w:val="single" w:color="auto" w:sz="8" w:space="0"/>
            </w:tcBorders>
            <w:shd w:val="clear" w:color="auto" w:fill="auto"/>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10302</w:t>
            </w:r>
          </w:p>
        </w:tc>
        <w:tc>
          <w:tcPr>
            <w:tcW w:w="3529" w:type="dxa"/>
            <w:tcBorders>
              <w:top w:val="nil"/>
              <w:left w:val="nil"/>
              <w:bottom w:val="single" w:color="auto" w:sz="8" w:space="0"/>
              <w:right w:val="single" w:color="auto" w:sz="8" w:space="0"/>
            </w:tcBorders>
            <w:shd w:val="clear" w:color="auto" w:fill="auto"/>
          </w:tcPr>
          <w:p>
            <w:pPr>
              <w:widowControl/>
              <w:rPr>
                <w:rFonts w:ascii="仿宋" w:hAnsi="仿宋" w:eastAsia="仿宋" w:cs="宋体"/>
                <w:color w:val="000000"/>
                <w:kern w:val="0"/>
                <w:sz w:val="24"/>
              </w:rPr>
            </w:pPr>
            <w:r>
              <w:rPr>
                <w:rFonts w:hint="eastAsia" w:ascii="仿宋" w:hAnsi="仿宋" w:eastAsia="仿宋" w:cs="宋体"/>
                <w:color w:val="000000"/>
                <w:kern w:val="0"/>
                <w:sz w:val="24"/>
              </w:rPr>
              <w:t>专项收入</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10,900</w:t>
            </w:r>
          </w:p>
        </w:tc>
      </w:tr>
      <w:tr>
        <w:tblPrEx>
          <w:tblCellMar>
            <w:top w:w="0" w:type="dxa"/>
            <w:left w:w="108" w:type="dxa"/>
            <w:bottom w:w="0" w:type="dxa"/>
            <w:right w:w="108" w:type="dxa"/>
          </w:tblCellMar>
        </w:tblPrEx>
        <w:trPr>
          <w:trHeight w:val="499" w:hRule="atLeast"/>
        </w:trPr>
        <w:tc>
          <w:tcPr>
            <w:tcW w:w="2440" w:type="dxa"/>
            <w:tcBorders>
              <w:top w:val="nil"/>
              <w:left w:val="single" w:color="auto" w:sz="8" w:space="0"/>
              <w:bottom w:val="single" w:color="auto" w:sz="8" w:space="0"/>
              <w:right w:val="single" w:color="auto" w:sz="8" w:space="0"/>
            </w:tcBorders>
            <w:shd w:val="clear" w:color="auto" w:fill="auto"/>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10304</w:t>
            </w:r>
          </w:p>
        </w:tc>
        <w:tc>
          <w:tcPr>
            <w:tcW w:w="3529" w:type="dxa"/>
            <w:tcBorders>
              <w:top w:val="nil"/>
              <w:left w:val="nil"/>
              <w:bottom w:val="single" w:color="auto" w:sz="8" w:space="0"/>
              <w:right w:val="single" w:color="auto" w:sz="8" w:space="0"/>
            </w:tcBorders>
            <w:shd w:val="clear" w:color="auto" w:fill="auto"/>
          </w:tcPr>
          <w:p>
            <w:pPr>
              <w:widowControl/>
              <w:rPr>
                <w:rFonts w:ascii="仿宋" w:hAnsi="仿宋" w:eastAsia="仿宋" w:cs="宋体"/>
                <w:color w:val="000000"/>
                <w:kern w:val="0"/>
                <w:sz w:val="24"/>
              </w:rPr>
            </w:pPr>
            <w:r>
              <w:rPr>
                <w:rFonts w:hint="eastAsia" w:ascii="仿宋" w:hAnsi="仿宋" w:eastAsia="仿宋" w:cs="宋体"/>
                <w:color w:val="000000"/>
                <w:kern w:val="0"/>
                <w:sz w:val="24"/>
              </w:rPr>
              <w:t>行政事业性收费收入</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320</w:t>
            </w:r>
          </w:p>
        </w:tc>
      </w:tr>
      <w:tr>
        <w:tblPrEx>
          <w:tblCellMar>
            <w:top w:w="0" w:type="dxa"/>
            <w:left w:w="108" w:type="dxa"/>
            <w:bottom w:w="0" w:type="dxa"/>
            <w:right w:w="108" w:type="dxa"/>
          </w:tblCellMar>
        </w:tblPrEx>
        <w:trPr>
          <w:trHeight w:val="499" w:hRule="atLeast"/>
        </w:trPr>
        <w:tc>
          <w:tcPr>
            <w:tcW w:w="2440" w:type="dxa"/>
            <w:tcBorders>
              <w:top w:val="nil"/>
              <w:left w:val="single" w:color="auto" w:sz="8" w:space="0"/>
              <w:bottom w:val="single" w:color="auto" w:sz="8" w:space="0"/>
              <w:right w:val="single" w:color="auto" w:sz="8" w:space="0"/>
            </w:tcBorders>
            <w:shd w:val="clear" w:color="auto" w:fill="auto"/>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10305</w:t>
            </w:r>
          </w:p>
        </w:tc>
        <w:tc>
          <w:tcPr>
            <w:tcW w:w="3529" w:type="dxa"/>
            <w:tcBorders>
              <w:top w:val="nil"/>
              <w:left w:val="nil"/>
              <w:bottom w:val="single" w:color="auto" w:sz="8" w:space="0"/>
              <w:right w:val="single" w:color="auto" w:sz="8" w:space="0"/>
            </w:tcBorders>
            <w:shd w:val="clear" w:color="auto" w:fill="auto"/>
          </w:tcPr>
          <w:p>
            <w:pPr>
              <w:widowControl/>
              <w:rPr>
                <w:rFonts w:ascii="仿宋" w:hAnsi="仿宋" w:eastAsia="仿宋" w:cs="宋体"/>
                <w:color w:val="000000"/>
                <w:kern w:val="0"/>
                <w:sz w:val="24"/>
              </w:rPr>
            </w:pPr>
            <w:r>
              <w:rPr>
                <w:rFonts w:hint="eastAsia" w:ascii="仿宋" w:hAnsi="仿宋" w:eastAsia="仿宋" w:cs="宋体"/>
                <w:color w:val="000000"/>
                <w:kern w:val="0"/>
                <w:sz w:val="24"/>
              </w:rPr>
              <w:t>罚没收入</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400</w:t>
            </w:r>
          </w:p>
        </w:tc>
      </w:tr>
      <w:tr>
        <w:tblPrEx>
          <w:tblCellMar>
            <w:top w:w="0" w:type="dxa"/>
            <w:left w:w="108" w:type="dxa"/>
            <w:bottom w:w="0" w:type="dxa"/>
            <w:right w:w="108" w:type="dxa"/>
          </w:tblCellMar>
        </w:tblPrEx>
        <w:trPr>
          <w:trHeight w:val="499" w:hRule="atLeast"/>
        </w:trPr>
        <w:tc>
          <w:tcPr>
            <w:tcW w:w="2440" w:type="dxa"/>
            <w:tcBorders>
              <w:top w:val="nil"/>
              <w:left w:val="single" w:color="auto" w:sz="8" w:space="0"/>
              <w:bottom w:val="single" w:color="auto" w:sz="8" w:space="0"/>
              <w:right w:val="single" w:color="auto" w:sz="8" w:space="0"/>
            </w:tcBorders>
            <w:shd w:val="clear" w:color="auto" w:fill="auto"/>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10307</w:t>
            </w:r>
          </w:p>
        </w:tc>
        <w:tc>
          <w:tcPr>
            <w:tcW w:w="3529" w:type="dxa"/>
            <w:tcBorders>
              <w:top w:val="nil"/>
              <w:left w:val="nil"/>
              <w:bottom w:val="single" w:color="auto" w:sz="8" w:space="0"/>
              <w:right w:val="single" w:color="auto" w:sz="8" w:space="0"/>
            </w:tcBorders>
            <w:shd w:val="clear" w:color="auto" w:fill="auto"/>
          </w:tcPr>
          <w:p>
            <w:pPr>
              <w:widowControl/>
              <w:rPr>
                <w:rFonts w:ascii="仿宋" w:hAnsi="仿宋" w:eastAsia="仿宋" w:cs="宋体"/>
                <w:color w:val="000000"/>
                <w:kern w:val="0"/>
                <w:sz w:val="24"/>
              </w:rPr>
            </w:pPr>
            <w:r>
              <w:rPr>
                <w:rFonts w:hint="eastAsia" w:ascii="仿宋" w:hAnsi="仿宋" w:eastAsia="仿宋" w:cs="宋体"/>
                <w:color w:val="000000"/>
                <w:kern w:val="0"/>
                <w:sz w:val="24"/>
              </w:rPr>
              <w:t>国有资源（资产）有偿使用收入</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26,080</w:t>
            </w:r>
          </w:p>
        </w:tc>
      </w:tr>
      <w:tr>
        <w:tblPrEx>
          <w:tblCellMar>
            <w:top w:w="0" w:type="dxa"/>
            <w:left w:w="108" w:type="dxa"/>
            <w:bottom w:w="0" w:type="dxa"/>
            <w:right w:w="108" w:type="dxa"/>
          </w:tblCellMar>
        </w:tblPrEx>
        <w:trPr>
          <w:trHeight w:val="499" w:hRule="atLeast"/>
        </w:trPr>
        <w:tc>
          <w:tcPr>
            <w:tcW w:w="2440" w:type="dxa"/>
            <w:tcBorders>
              <w:top w:val="nil"/>
              <w:left w:val="single" w:color="auto" w:sz="8" w:space="0"/>
              <w:bottom w:val="single" w:color="auto" w:sz="8" w:space="0"/>
              <w:right w:val="single" w:color="auto" w:sz="8" w:space="0"/>
            </w:tcBorders>
            <w:shd w:val="clear" w:color="auto" w:fill="auto"/>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10309</w:t>
            </w:r>
          </w:p>
        </w:tc>
        <w:tc>
          <w:tcPr>
            <w:tcW w:w="3529" w:type="dxa"/>
            <w:tcBorders>
              <w:top w:val="nil"/>
              <w:left w:val="nil"/>
              <w:bottom w:val="single" w:color="auto" w:sz="8" w:space="0"/>
              <w:right w:val="single" w:color="auto" w:sz="8" w:space="0"/>
            </w:tcBorders>
            <w:shd w:val="clear" w:color="auto" w:fill="auto"/>
          </w:tcPr>
          <w:p>
            <w:pPr>
              <w:widowControl/>
              <w:rPr>
                <w:rFonts w:ascii="仿宋" w:hAnsi="仿宋" w:eastAsia="仿宋" w:cs="宋体"/>
                <w:color w:val="000000"/>
                <w:kern w:val="0"/>
                <w:sz w:val="24"/>
              </w:rPr>
            </w:pPr>
            <w:r>
              <w:rPr>
                <w:rFonts w:hint="eastAsia" w:ascii="仿宋" w:hAnsi="仿宋" w:eastAsia="仿宋" w:cs="宋体"/>
                <w:color w:val="000000"/>
                <w:kern w:val="0"/>
                <w:sz w:val="24"/>
              </w:rPr>
              <w:t>政府住房基金收入</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100</w:t>
            </w:r>
          </w:p>
        </w:tc>
      </w:tr>
      <w:tr>
        <w:tblPrEx>
          <w:tblCellMar>
            <w:top w:w="0" w:type="dxa"/>
            <w:left w:w="108" w:type="dxa"/>
            <w:bottom w:w="0" w:type="dxa"/>
            <w:right w:w="108" w:type="dxa"/>
          </w:tblCellMar>
        </w:tblPrEx>
        <w:trPr>
          <w:trHeight w:val="499" w:hRule="atLeast"/>
        </w:trPr>
        <w:tc>
          <w:tcPr>
            <w:tcW w:w="5969" w:type="dxa"/>
            <w:gridSpan w:val="2"/>
            <w:tcBorders>
              <w:top w:val="single" w:color="auto" w:sz="8" w:space="0"/>
              <w:left w:val="single" w:color="auto" w:sz="8" w:space="0"/>
              <w:bottom w:val="single" w:color="auto" w:sz="8" w:space="0"/>
              <w:right w:val="single" w:color="000000" w:sz="8" w:space="0"/>
            </w:tcBorders>
            <w:shd w:val="clear" w:color="auto" w:fill="auto"/>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一般公共财政预算收入合计</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63,800</w:t>
            </w:r>
          </w:p>
        </w:tc>
      </w:tr>
    </w:tbl>
    <w:p>
      <w:pPr>
        <w:spacing w:line="360" w:lineRule="auto"/>
        <w:jc w:val="center"/>
        <w:rPr>
          <w:rFonts w:ascii="仿宋_GB2312" w:eastAsia="仿宋_GB2312"/>
          <w:b/>
          <w:color w:val="000000" w:themeColor="text1"/>
          <w:sz w:val="32"/>
          <w:szCs w:val="32"/>
        </w:rPr>
      </w:pPr>
    </w:p>
    <w:p>
      <w:pPr>
        <w:spacing w:line="360" w:lineRule="auto"/>
        <w:rPr>
          <w:rFonts w:ascii="仿宋_GB2312" w:eastAsia="仿宋_GB2312"/>
          <w:b/>
          <w:color w:val="000000" w:themeColor="text1"/>
          <w:sz w:val="32"/>
          <w:szCs w:val="32"/>
        </w:rPr>
      </w:pPr>
    </w:p>
    <w:p>
      <w:pPr>
        <w:spacing w:line="360" w:lineRule="auto"/>
        <w:rPr>
          <w:rFonts w:ascii="仿宋_GB2312" w:eastAsia="仿宋_GB2312"/>
          <w:b/>
          <w:color w:val="000000" w:themeColor="text1"/>
          <w:sz w:val="32"/>
          <w:szCs w:val="32"/>
        </w:rPr>
      </w:pPr>
    </w:p>
    <w:tbl>
      <w:tblPr>
        <w:tblStyle w:val="15"/>
        <w:tblW w:w="8833" w:type="dxa"/>
        <w:tblInd w:w="93" w:type="dxa"/>
        <w:tblLayout w:type="autofit"/>
        <w:tblCellMar>
          <w:top w:w="0" w:type="dxa"/>
          <w:left w:w="108" w:type="dxa"/>
          <w:bottom w:w="0" w:type="dxa"/>
          <w:right w:w="108" w:type="dxa"/>
        </w:tblCellMar>
      </w:tblPr>
      <w:tblGrid>
        <w:gridCol w:w="2060"/>
        <w:gridCol w:w="4646"/>
        <w:gridCol w:w="2127"/>
      </w:tblGrid>
      <w:tr>
        <w:tblPrEx>
          <w:tblCellMar>
            <w:top w:w="0" w:type="dxa"/>
            <w:left w:w="108" w:type="dxa"/>
            <w:bottom w:w="0" w:type="dxa"/>
            <w:right w:w="108" w:type="dxa"/>
          </w:tblCellMar>
        </w:tblPrEx>
        <w:trPr>
          <w:trHeight w:val="1215" w:hRule="atLeast"/>
        </w:trPr>
        <w:tc>
          <w:tcPr>
            <w:tcW w:w="8833" w:type="dxa"/>
            <w:gridSpan w:val="3"/>
            <w:tcBorders>
              <w:top w:val="nil"/>
              <w:left w:val="nil"/>
              <w:bottom w:val="nil"/>
              <w:right w:val="nil"/>
            </w:tcBorders>
            <w:shd w:val="clear" w:color="auto" w:fill="auto"/>
            <w:vAlign w:val="center"/>
          </w:tcPr>
          <w:p>
            <w:pPr>
              <w:pStyle w:val="4"/>
              <w:jc w:val="center"/>
              <w:rPr>
                <w:rFonts w:ascii="仿宋_GB2312" w:eastAsia="仿宋_GB2312"/>
                <w:color w:val="000000" w:themeColor="text1"/>
              </w:rPr>
            </w:pPr>
            <w:bookmarkStart w:id="15" w:name="_Toc60125996"/>
            <w:r>
              <w:rPr>
                <w:rFonts w:hint="eastAsia" w:ascii="仿宋_GB2312" w:eastAsia="仿宋_GB2312"/>
                <w:color w:val="000000" w:themeColor="text1"/>
              </w:rPr>
              <w:t>§4  2021年区本级一般公共预算支出功能分类汇总表</w:t>
            </w:r>
            <w:bookmarkEnd w:id="15"/>
          </w:p>
        </w:tc>
      </w:tr>
      <w:tr>
        <w:tblPrEx>
          <w:tblCellMar>
            <w:top w:w="0" w:type="dxa"/>
            <w:left w:w="108" w:type="dxa"/>
            <w:bottom w:w="0" w:type="dxa"/>
            <w:right w:w="108" w:type="dxa"/>
          </w:tblCellMar>
        </w:tblPrEx>
        <w:trPr>
          <w:trHeight w:val="300" w:hRule="atLeast"/>
        </w:trPr>
        <w:tc>
          <w:tcPr>
            <w:tcW w:w="2060" w:type="dxa"/>
            <w:tcBorders>
              <w:top w:val="nil"/>
              <w:left w:val="nil"/>
              <w:bottom w:val="single" w:color="auto" w:sz="8" w:space="0"/>
              <w:right w:val="nil"/>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4646" w:type="dxa"/>
            <w:tcBorders>
              <w:top w:val="nil"/>
              <w:left w:val="nil"/>
              <w:bottom w:val="single" w:color="auto" w:sz="8" w:space="0"/>
              <w:right w:val="nil"/>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2127" w:type="dxa"/>
            <w:tcBorders>
              <w:top w:val="nil"/>
              <w:left w:val="nil"/>
              <w:bottom w:val="single" w:color="auto" w:sz="8" w:space="0"/>
              <w:right w:val="nil"/>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单位：万元</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科目编码</w:t>
            </w:r>
          </w:p>
        </w:tc>
        <w:tc>
          <w:tcPr>
            <w:tcW w:w="464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科目名称</w:t>
            </w:r>
          </w:p>
        </w:tc>
        <w:tc>
          <w:tcPr>
            <w:tcW w:w="21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金额</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000000" w:fill="D8D8D8"/>
            <w:vAlign w:val="center"/>
          </w:tcPr>
          <w:p>
            <w:pPr>
              <w:widowControl/>
              <w:jc w:val="lef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201</w:t>
            </w:r>
          </w:p>
        </w:tc>
        <w:tc>
          <w:tcPr>
            <w:tcW w:w="4646" w:type="dxa"/>
            <w:tcBorders>
              <w:top w:val="nil"/>
              <w:left w:val="nil"/>
              <w:bottom w:val="single" w:color="auto" w:sz="8" w:space="0"/>
              <w:right w:val="single" w:color="auto" w:sz="8" w:space="0"/>
            </w:tcBorders>
            <w:shd w:val="clear" w:color="000000" w:fill="D8D8D8"/>
            <w:vAlign w:val="center"/>
          </w:tcPr>
          <w:p>
            <w:pPr>
              <w:widowControl/>
              <w:jc w:val="lef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一般公共服务</w:t>
            </w:r>
          </w:p>
        </w:tc>
        <w:tc>
          <w:tcPr>
            <w:tcW w:w="2127" w:type="dxa"/>
            <w:tcBorders>
              <w:top w:val="nil"/>
              <w:left w:val="nil"/>
              <w:bottom w:val="single" w:color="auto" w:sz="8" w:space="0"/>
              <w:right w:val="single" w:color="auto" w:sz="8" w:space="0"/>
            </w:tcBorders>
            <w:shd w:val="clear" w:color="000000" w:fill="D8D8D8"/>
            <w:vAlign w:val="center"/>
          </w:tcPr>
          <w:p>
            <w:pPr>
              <w:widowControl/>
              <w:jc w:val="righ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8,241</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20103</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政府办公厅(室)及相关机构事务</w:t>
            </w:r>
          </w:p>
        </w:tc>
        <w:tc>
          <w:tcPr>
            <w:tcW w:w="2127"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3,129</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2010301</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行政运行</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1,451</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2010302</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一般行政管理事务</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753</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2010308</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信访事务</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18</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2010399</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其他政府办公厅(室)及相关机构事务支出</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907</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20104</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发展与改革事务</w:t>
            </w:r>
          </w:p>
        </w:tc>
        <w:tc>
          <w:tcPr>
            <w:tcW w:w="2127"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1,723</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2010401</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行政运行</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303</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2010402</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一般行政管理事务</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120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2010499</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其他发展与改革事务支出</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1,300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20106</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财政事务</w:t>
            </w:r>
          </w:p>
        </w:tc>
        <w:tc>
          <w:tcPr>
            <w:tcW w:w="2127"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696</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2010601</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行政运行</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336</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2010602</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一般行政管理事务</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75</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2010607</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信息化建设</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25</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2010608</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财政委托业务支出</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260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20107</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税收事务</w:t>
            </w:r>
          </w:p>
        </w:tc>
        <w:tc>
          <w:tcPr>
            <w:tcW w:w="2127"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300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2010702</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一般行政管理事务</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300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20111</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纪检监察事务</w:t>
            </w:r>
          </w:p>
        </w:tc>
        <w:tc>
          <w:tcPr>
            <w:tcW w:w="2127"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435</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2011101</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行政运行</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220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2011102</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一般行政管理事务</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215</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20113</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商贸事务</w:t>
            </w:r>
          </w:p>
        </w:tc>
        <w:tc>
          <w:tcPr>
            <w:tcW w:w="2127"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1,940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2011301</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行政运行</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620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2011302</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一般行政管理事务</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230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2011308</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招商引资</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90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2011399</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其他商贸事务支出</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1000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20138</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市场监督管理事务</w:t>
            </w:r>
          </w:p>
        </w:tc>
        <w:tc>
          <w:tcPr>
            <w:tcW w:w="2127"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18</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2013802</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一般行政管理事务</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18</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000000" w:fill="D8D8D8"/>
            <w:vAlign w:val="center"/>
          </w:tcPr>
          <w:p>
            <w:pPr>
              <w:widowControl/>
              <w:jc w:val="lef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204</w:t>
            </w:r>
          </w:p>
        </w:tc>
        <w:tc>
          <w:tcPr>
            <w:tcW w:w="4646" w:type="dxa"/>
            <w:tcBorders>
              <w:top w:val="nil"/>
              <w:left w:val="nil"/>
              <w:bottom w:val="single" w:color="auto" w:sz="8" w:space="0"/>
              <w:right w:val="single" w:color="auto" w:sz="8" w:space="0"/>
            </w:tcBorders>
            <w:shd w:val="clear" w:color="000000" w:fill="D8D8D8"/>
            <w:vAlign w:val="center"/>
          </w:tcPr>
          <w:p>
            <w:pPr>
              <w:widowControl/>
              <w:jc w:val="lef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公共安全支出</w:t>
            </w:r>
          </w:p>
        </w:tc>
        <w:tc>
          <w:tcPr>
            <w:tcW w:w="2127" w:type="dxa"/>
            <w:tcBorders>
              <w:top w:val="nil"/>
              <w:left w:val="nil"/>
              <w:bottom w:val="single" w:color="auto" w:sz="8" w:space="0"/>
              <w:right w:val="single" w:color="auto" w:sz="8" w:space="0"/>
            </w:tcBorders>
            <w:shd w:val="clear" w:color="000000" w:fill="D8D8D8"/>
            <w:vAlign w:val="center"/>
          </w:tcPr>
          <w:p>
            <w:pPr>
              <w:widowControl/>
              <w:jc w:val="righ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850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20402</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公安</w:t>
            </w:r>
          </w:p>
        </w:tc>
        <w:tc>
          <w:tcPr>
            <w:tcW w:w="2127"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850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2040202</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一般行政管理事务</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320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2040299</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其他公安支出</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530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000000" w:fill="D8D8D8"/>
            <w:vAlign w:val="center"/>
          </w:tcPr>
          <w:p>
            <w:pPr>
              <w:widowControl/>
              <w:jc w:val="lef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206</w:t>
            </w:r>
          </w:p>
        </w:tc>
        <w:tc>
          <w:tcPr>
            <w:tcW w:w="4646" w:type="dxa"/>
            <w:tcBorders>
              <w:top w:val="nil"/>
              <w:left w:val="nil"/>
              <w:bottom w:val="single" w:color="auto" w:sz="8" w:space="0"/>
              <w:right w:val="single" w:color="auto" w:sz="8" w:space="0"/>
            </w:tcBorders>
            <w:shd w:val="clear" w:color="000000" w:fill="D8D8D8"/>
            <w:vAlign w:val="center"/>
          </w:tcPr>
          <w:p>
            <w:pPr>
              <w:widowControl/>
              <w:jc w:val="lef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科学技术支出</w:t>
            </w:r>
          </w:p>
        </w:tc>
        <w:tc>
          <w:tcPr>
            <w:tcW w:w="2127" w:type="dxa"/>
            <w:tcBorders>
              <w:top w:val="nil"/>
              <w:left w:val="nil"/>
              <w:bottom w:val="single" w:color="auto" w:sz="8" w:space="0"/>
              <w:right w:val="single" w:color="auto" w:sz="8" w:space="0"/>
            </w:tcBorders>
            <w:shd w:val="clear" w:color="000000" w:fill="D8D8D8"/>
            <w:vAlign w:val="center"/>
          </w:tcPr>
          <w:p>
            <w:pPr>
              <w:widowControl/>
              <w:jc w:val="righ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338</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20601</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科学技术管理事务</w:t>
            </w:r>
          </w:p>
        </w:tc>
        <w:tc>
          <w:tcPr>
            <w:tcW w:w="2127"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201</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2060101</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行政运行</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183</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2060102</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一般行政管理事务</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18</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20604</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技术研究与开发</w:t>
            </w:r>
          </w:p>
        </w:tc>
        <w:tc>
          <w:tcPr>
            <w:tcW w:w="2127"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127</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2060404</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科技成果转化与扩散</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69</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2060499</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其他技术研究与开发支出</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58</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20607</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科学技术普及</w:t>
            </w:r>
          </w:p>
        </w:tc>
        <w:tc>
          <w:tcPr>
            <w:tcW w:w="2127"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10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2060799</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其他科学技术普及支出</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10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000000" w:fill="D8D8D8"/>
            <w:vAlign w:val="center"/>
          </w:tcPr>
          <w:p>
            <w:pPr>
              <w:widowControl/>
              <w:jc w:val="lef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208</w:t>
            </w:r>
          </w:p>
        </w:tc>
        <w:tc>
          <w:tcPr>
            <w:tcW w:w="4646" w:type="dxa"/>
            <w:tcBorders>
              <w:top w:val="nil"/>
              <w:left w:val="nil"/>
              <w:bottom w:val="single" w:color="auto" w:sz="8" w:space="0"/>
              <w:right w:val="single" w:color="auto" w:sz="8" w:space="0"/>
            </w:tcBorders>
            <w:shd w:val="clear" w:color="000000" w:fill="D8D8D8"/>
            <w:vAlign w:val="center"/>
          </w:tcPr>
          <w:p>
            <w:pPr>
              <w:widowControl/>
              <w:jc w:val="lef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社会保障和就业支出</w:t>
            </w:r>
          </w:p>
        </w:tc>
        <w:tc>
          <w:tcPr>
            <w:tcW w:w="2127" w:type="dxa"/>
            <w:tcBorders>
              <w:top w:val="nil"/>
              <w:left w:val="nil"/>
              <w:bottom w:val="single" w:color="auto" w:sz="8" w:space="0"/>
              <w:right w:val="single" w:color="auto" w:sz="8" w:space="0"/>
            </w:tcBorders>
            <w:shd w:val="clear" w:color="000000" w:fill="D8D8D8"/>
            <w:vAlign w:val="center"/>
          </w:tcPr>
          <w:p>
            <w:pPr>
              <w:widowControl/>
              <w:jc w:val="righ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1,2</w:t>
            </w:r>
            <w:r>
              <w:rPr>
                <w:rFonts w:hint="eastAsia" w:ascii="仿宋_GB2312" w:hAnsi="宋体" w:eastAsia="仿宋_GB2312" w:cs="宋体"/>
                <w:b/>
                <w:bCs/>
                <w:color w:val="000000"/>
                <w:kern w:val="0"/>
                <w:sz w:val="24"/>
                <w:lang w:val="en-US" w:eastAsia="zh-CN"/>
              </w:rPr>
              <w:t>9</w:t>
            </w:r>
            <w:r>
              <w:rPr>
                <w:rFonts w:hint="eastAsia" w:ascii="仿宋_GB2312" w:hAnsi="宋体" w:eastAsia="仿宋_GB2312" w:cs="宋体"/>
                <w:b/>
                <w:bCs/>
                <w:color w:val="000000"/>
                <w:kern w:val="0"/>
                <w:sz w:val="24"/>
              </w:rPr>
              <w:t>7</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20801</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人力资源和社会保障管理事务</w:t>
            </w:r>
          </w:p>
        </w:tc>
        <w:tc>
          <w:tcPr>
            <w:tcW w:w="2127" w:type="dxa"/>
            <w:tcBorders>
              <w:top w:val="nil"/>
              <w:left w:val="nil"/>
              <w:bottom w:val="single" w:color="auto" w:sz="8" w:space="0"/>
              <w:right w:val="single" w:color="auto" w:sz="8" w:space="0"/>
            </w:tcBorders>
            <w:shd w:val="clear" w:color="auto" w:fill="auto"/>
            <w:vAlign w:val="center"/>
          </w:tcPr>
          <w:p>
            <w:pPr>
              <w:widowControl/>
              <w:jc w:val="right"/>
              <w:rPr>
                <w:rFonts w:hint="default" w:ascii="仿宋_GB2312" w:hAnsi="宋体" w:eastAsia="仿宋_GB2312" w:cs="宋体"/>
                <w:color w:val="000000"/>
                <w:kern w:val="0"/>
                <w:sz w:val="24"/>
                <w:lang w:val="en-US" w:eastAsia="zh-CN"/>
              </w:rPr>
            </w:pPr>
            <w:r>
              <w:rPr>
                <w:rFonts w:hint="eastAsia" w:ascii="仿宋_GB2312" w:hAnsi="宋体" w:eastAsia="仿宋_GB2312" w:cs="宋体"/>
                <w:color w:val="000000"/>
                <w:kern w:val="0"/>
                <w:sz w:val="24"/>
                <w:lang w:val="en-US" w:eastAsia="zh-CN"/>
              </w:rPr>
              <w:t>497</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2080101</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行政运行</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357</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2080102</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一般行政管理事务</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140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20899</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其他社会保障和就业支出</w:t>
            </w:r>
          </w:p>
        </w:tc>
        <w:tc>
          <w:tcPr>
            <w:tcW w:w="2127"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800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2089999</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其他社会保障和就业支出</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800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000000" w:fill="D8D8D8"/>
            <w:vAlign w:val="center"/>
          </w:tcPr>
          <w:p>
            <w:pPr>
              <w:widowControl/>
              <w:jc w:val="lef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211</w:t>
            </w:r>
          </w:p>
        </w:tc>
        <w:tc>
          <w:tcPr>
            <w:tcW w:w="4646" w:type="dxa"/>
            <w:tcBorders>
              <w:top w:val="nil"/>
              <w:left w:val="nil"/>
              <w:bottom w:val="single" w:color="auto" w:sz="8" w:space="0"/>
              <w:right w:val="single" w:color="auto" w:sz="8" w:space="0"/>
            </w:tcBorders>
            <w:shd w:val="clear" w:color="000000" w:fill="D8D8D8"/>
            <w:vAlign w:val="center"/>
          </w:tcPr>
          <w:p>
            <w:pPr>
              <w:widowControl/>
              <w:jc w:val="lef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节能环保支出</w:t>
            </w:r>
          </w:p>
        </w:tc>
        <w:tc>
          <w:tcPr>
            <w:tcW w:w="2127" w:type="dxa"/>
            <w:tcBorders>
              <w:top w:val="nil"/>
              <w:left w:val="nil"/>
              <w:bottom w:val="single" w:color="auto" w:sz="8" w:space="0"/>
              <w:right w:val="single" w:color="auto" w:sz="8" w:space="0"/>
            </w:tcBorders>
            <w:shd w:val="clear" w:color="000000" w:fill="D8D8D8"/>
            <w:vAlign w:val="center"/>
          </w:tcPr>
          <w:p>
            <w:pPr>
              <w:widowControl/>
              <w:jc w:val="righ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1,576</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21101</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环境保护管理事务</w:t>
            </w:r>
          </w:p>
        </w:tc>
        <w:tc>
          <w:tcPr>
            <w:tcW w:w="2127"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1,426</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2110101</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行政运行</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556</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2110102</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一般行政管理事务</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816</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2110104</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生态环境保护宣传</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3</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2110105</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环境保护法规、规划及标准</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51</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21102</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环境监测与监察</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150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2110299</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其他环境监测与监察支出</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150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000000" w:fill="D8D8D8"/>
            <w:vAlign w:val="center"/>
          </w:tcPr>
          <w:p>
            <w:pPr>
              <w:widowControl/>
              <w:jc w:val="lef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212</w:t>
            </w:r>
          </w:p>
        </w:tc>
        <w:tc>
          <w:tcPr>
            <w:tcW w:w="4646" w:type="dxa"/>
            <w:tcBorders>
              <w:top w:val="nil"/>
              <w:left w:val="nil"/>
              <w:bottom w:val="single" w:color="auto" w:sz="8" w:space="0"/>
              <w:right w:val="single" w:color="auto" w:sz="8" w:space="0"/>
            </w:tcBorders>
            <w:shd w:val="clear" w:color="000000" w:fill="D8D8D8"/>
            <w:vAlign w:val="center"/>
          </w:tcPr>
          <w:p>
            <w:pPr>
              <w:widowControl/>
              <w:jc w:val="lef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城乡社区支出</w:t>
            </w:r>
          </w:p>
        </w:tc>
        <w:tc>
          <w:tcPr>
            <w:tcW w:w="2127" w:type="dxa"/>
            <w:tcBorders>
              <w:top w:val="nil"/>
              <w:left w:val="nil"/>
              <w:bottom w:val="single" w:color="auto" w:sz="8" w:space="0"/>
              <w:right w:val="single" w:color="auto" w:sz="8" w:space="0"/>
            </w:tcBorders>
            <w:shd w:val="clear" w:color="000000" w:fill="D8D8D8"/>
            <w:vAlign w:val="center"/>
          </w:tcPr>
          <w:p>
            <w:pPr>
              <w:widowControl/>
              <w:jc w:val="righ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1,546</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21201</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城乡社区管理事务</w:t>
            </w:r>
          </w:p>
        </w:tc>
        <w:tc>
          <w:tcPr>
            <w:tcW w:w="2127"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776</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2120101</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行政运行</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576</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2120102</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一般行政管理事务</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200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21203</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城乡社区公共设施</w:t>
            </w:r>
          </w:p>
        </w:tc>
        <w:tc>
          <w:tcPr>
            <w:tcW w:w="2127"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770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2120399</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其他城乡社区公共设施支出</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770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000000" w:fill="D8D8D8"/>
            <w:vAlign w:val="center"/>
          </w:tcPr>
          <w:p>
            <w:pPr>
              <w:widowControl/>
              <w:jc w:val="lef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213</w:t>
            </w:r>
          </w:p>
        </w:tc>
        <w:tc>
          <w:tcPr>
            <w:tcW w:w="4646" w:type="dxa"/>
            <w:tcBorders>
              <w:top w:val="nil"/>
              <w:left w:val="nil"/>
              <w:bottom w:val="single" w:color="auto" w:sz="8" w:space="0"/>
              <w:right w:val="single" w:color="auto" w:sz="8" w:space="0"/>
            </w:tcBorders>
            <w:shd w:val="clear" w:color="000000" w:fill="D8D8D8"/>
            <w:vAlign w:val="center"/>
          </w:tcPr>
          <w:p>
            <w:pPr>
              <w:widowControl/>
              <w:jc w:val="lef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农林水支出</w:t>
            </w:r>
          </w:p>
        </w:tc>
        <w:tc>
          <w:tcPr>
            <w:tcW w:w="2127" w:type="dxa"/>
            <w:tcBorders>
              <w:top w:val="nil"/>
              <w:left w:val="nil"/>
              <w:bottom w:val="single" w:color="auto" w:sz="8" w:space="0"/>
              <w:right w:val="single" w:color="auto" w:sz="8" w:space="0"/>
            </w:tcBorders>
            <w:shd w:val="clear" w:color="000000" w:fill="D8D8D8"/>
            <w:vAlign w:val="center"/>
          </w:tcPr>
          <w:p>
            <w:pPr>
              <w:widowControl/>
              <w:jc w:val="righ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3,650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21303</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水利</w:t>
            </w:r>
          </w:p>
        </w:tc>
        <w:tc>
          <w:tcPr>
            <w:tcW w:w="2127"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3,650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2130337</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南水北调工程管理</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3,650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000000" w:fill="D8D8D8"/>
            <w:vAlign w:val="center"/>
          </w:tcPr>
          <w:p>
            <w:pPr>
              <w:widowControl/>
              <w:jc w:val="lef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215</w:t>
            </w:r>
          </w:p>
        </w:tc>
        <w:tc>
          <w:tcPr>
            <w:tcW w:w="4646" w:type="dxa"/>
            <w:tcBorders>
              <w:top w:val="nil"/>
              <w:left w:val="nil"/>
              <w:bottom w:val="single" w:color="auto" w:sz="8" w:space="0"/>
              <w:right w:val="single" w:color="auto" w:sz="8" w:space="0"/>
            </w:tcBorders>
            <w:shd w:val="clear" w:color="000000" w:fill="D8D8D8"/>
            <w:vAlign w:val="center"/>
          </w:tcPr>
          <w:p>
            <w:pPr>
              <w:widowControl/>
              <w:jc w:val="lef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资源勘探工业信息等支出</w:t>
            </w:r>
          </w:p>
        </w:tc>
        <w:tc>
          <w:tcPr>
            <w:tcW w:w="2127" w:type="dxa"/>
            <w:tcBorders>
              <w:top w:val="nil"/>
              <w:left w:val="nil"/>
              <w:bottom w:val="single" w:color="auto" w:sz="8" w:space="0"/>
              <w:right w:val="single" w:color="auto" w:sz="8" w:space="0"/>
            </w:tcBorders>
            <w:shd w:val="clear" w:color="000000" w:fill="D8D8D8"/>
            <w:vAlign w:val="center"/>
          </w:tcPr>
          <w:p>
            <w:pPr>
              <w:widowControl/>
              <w:jc w:val="righ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26,200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21507</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国有资产监管</w:t>
            </w:r>
          </w:p>
        </w:tc>
        <w:tc>
          <w:tcPr>
            <w:tcW w:w="2127"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26,200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2130799</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其他国有资产监管支出</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26,200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000000" w:fill="D8D8D8"/>
            <w:vAlign w:val="center"/>
          </w:tcPr>
          <w:p>
            <w:pPr>
              <w:widowControl/>
              <w:jc w:val="lef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220</w:t>
            </w:r>
          </w:p>
        </w:tc>
        <w:tc>
          <w:tcPr>
            <w:tcW w:w="4646" w:type="dxa"/>
            <w:tcBorders>
              <w:top w:val="nil"/>
              <w:left w:val="nil"/>
              <w:bottom w:val="single" w:color="auto" w:sz="8" w:space="0"/>
              <w:right w:val="single" w:color="auto" w:sz="8" w:space="0"/>
            </w:tcBorders>
            <w:shd w:val="clear" w:color="000000" w:fill="D8D8D8"/>
            <w:vAlign w:val="center"/>
          </w:tcPr>
          <w:p>
            <w:pPr>
              <w:widowControl/>
              <w:jc w:val="lef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自然资源海洋气象等支出</w:t>
            </w:r>
          </w:p>
        </w:tc>
        <w:tc>
          <w:tcPr>
            <w:tcW w:w="2127" w:type="dxa"/>
            <w:tcBorders>
              <w:top w:val="nil"/>
              <w:left w:val="nil"/>
              <w:bottom w:val="single" w:color="auto" w:sz="8" w:space="0"/>
              <w:right w:val="single" w:color="auto" w:sz="8" w:space="0"/>
            </w:tcBorders>
            <w:shd w:val="clear" w:color="000000" w:fill="D8D8D8"/>
            <w:vAlign w:val="center"/>
          </w:tcPr>
          <w:p>
            <w:pPr>
              <w:widowControl/>
              <w:jc w:val="righ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598</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22001</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自然资源事务</w:t>
            </w:r>
          </w:p>
        </w:tc>
        <w:tc>
          <w:tcPr>
            <w:tcW w:w="2127"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500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2200102</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一般行政管理事务</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140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2200104</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自然资源规划及管理</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360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22005</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气象事务</w:t>
            </w:r>
          </w:p>
        </w:tc>
        <w:tc>
          <w:tcPr>
            <w:tcW w:w="2127"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98</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2200502</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一般行政管理事务</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98</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000000" w:fill="D8D8D8"/>
            <w:vAlign w:val="center"/>
          </w:tcPr>
          <w:p>
            <w:pPr>
              <w:widowControl/>
              <w:jc w:val="lef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221</w:t>
            </w:r>
          </w:p>
        </w:tc>
        <w:tc>
          <w:tcPr>
            <w:tcW w:w="4646" w:type="dxa"/>
            <w:tcBorders>
              <w:top w:val="nil"/>
              <w:left w:val="nil"/>
              <w:bottom w:val="single" w:color="auto" w:sz="8" w:space="0"/>
              <w:right w:val="single" w:color="auto" w:sz="8" w:space="0"/>
            </w:tcBorders>
            <w:shd w:val="clear" w:color="000000" w:fill="D8D8D8"/>
            <w:vAlign w:val="center"/>
          </w:tcPr>
          <w:p>
            <w:pPr>
              <w:widowControl/>
              <w:jc w:val="lef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住房保障支出</w:t>
            </w:r>
          </w:p>
        </w:tc>
        <w:tc>
          <w:tcPr>
            <w:tcW w:w="2127" w:type="dxa"/>
            <w:tcBorders>
              <w:top w:val="nil"/>
              <w:left w:val="nil"/>
              <w:bottom w:val="single" w:color="auto" w:sz="8" w:space="0"/>
              <w:right w:val="single" w:color="auto" w:sz="8" w:space="0"/>
            </w:tcBorders>
            <w:shd w:val="clear" w:color="000000" w:fill="D8D8D8"/>
            <w:vAlign w:val="center"/>
          </w:tcPr>
          <w:p>
            <w:pPr>
              <w:widowControl/>
              <w:jc w:val="righ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187</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22102</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住房改革支出</w:t>
            </w:r>
          </w:p>
        </w:tc>
        <w:tc>
          <w:tcPr>
            <w:tcW w:w="2127"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187</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2210201</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住房公积金</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187</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000000" w:fill="D8D8D8"/>
            <w:vAlign w:val="center"/>
          </w:tcPr>
          <w:p>
            <w:pPr>
              <w:widowControl/>
              <w:jc w:val="lef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224</w:t>
            </w:r>
          </w:p>
        </w:tc>
        <w:tc>
          <w:tcPr>
            <w:tcW w:w="4646" w:type="dxa"/>
            <w:tcBorders>
              <w:top w:val="nil"/>
              <w:left w:val="nil"/>
              <w:bottom w:val="single" w:color="auto" w:sz="8" w:space="0"/>
              <w:right w:val="single" w:color="auto" w:sz="8" w:space="0"/>
            </w:tcBorders>
            <w:shd w:val="clear" w:color="000000" w:fill="D8D8D8"/>
            <w:vAlign w:val="center"/>
          </w:tcPr>
          <w:p>
            <w:pPr>
              <w:widowControl/>
              <w:jc w:val="lef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灾害防治及应急管理支出</w:t>
            </w:r>
          </w:p>
        </w:tc>
        <w:tc>
          <w:tcPr>
            <w:tcW w:w="2127" w:type="dxa"/>
            <w:tcBorders>
              <w:top w:val="nil"/>
              <w:left w:val="nil"/>
              <w:bottom w:val="single" w:color="auto" w:sz="8" w:space="0"/>
              <w:right w:val="single" w:color="auto" w:sz="8" w:space="0"/>
            </w:tcBorders>
            <w:shd w:val="clear" w:color="000000" w:fill="D8D8D8"/>
            <w:vAlign w:val="center"/>
          </w:tcPr>
          <w:p>
            <w:pPr>
              <w:widowControl/>
              <w:jc w:val="righ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1,154</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22401</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应急管理事务</w:t>
            </w:r>
          </w:p>
        </w:tc>
        <w:tc>
          <w:tcPr>
            <w:tcW w:w="2127"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804</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2240101</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行政运行</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324</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2240102</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一般行政管理事务</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480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22402</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消防事务</w:t>
            </w:r>
          </w:p>
        </w:tc>
        <w:tc>
          <w:tcPr>
            <w:tcW w:w="2127"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350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2240202</w:t>
            </w:r>
          </w:p>
        </w:tc>
        <w:tc>
          <w:tcPr>
            <w:tcW w:w="4646" w:type="dxa"/>
            <w:tcBorders>
              <w:top w:val="nil"/>
              <w:left w:val="nil"/>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一般行政管理事务</w:t>
            </w:r>
          </w:p>
        </w:tc>
        <w:tc>
          <w:tcPr>
            <w:tcW w:w="2127" w:type="dxa"/>
            <w:tcBorders>
              <w:top w:val="nil"/>
              <w:left w:val="nil"/>
              <w:bottom w:val="single" w:color="auto" w:sz="8" w:space="0"/>
              <w:right w:val="single" w:color="auto" w:sz="8" w:space="0"/>
            </w:tcBorders>
            <w:shd w:val="clear" w:color="auto" w:fill="auto"/>
            <w:noWrap/>
            <w:vAlign w:val="center"/>
          </w:tcPr>
          <w:p>
            <w:pPr>
              <w:widowControl/>
              <w:jc w:val="right"/>
              <w:rPr>
                <w:rFonts w:ascii="宋体" w:hAnsi="宋体" w:cs="宋体"/>
                <w:color w:val="000000"/>
                <w:kern w:val="0"/>
                <w:sz w:val="22"/>
                <w:szCs w:val="22"/>
              </w:rPr>
            </w:pPr>
            <w:r>
              <w:rPr>
                <w:rFonts w:hint="eastAsia" w:ascii="宋体" w:hAnsi="宋体" w:cs="宋体"/>
                <w:color w:val="000000"/>
                <w:kern w:val="0"/>
                <w:sz w:val="22"/>
                <w:szCs w:val="22"/>
              </w:rPr>
              <w:t>350</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8" w:space="0"/>
              <w:right w:val="single" w:color="auto" w:sz="8" w:space="0"/>
            </w:tcBorders>
            <w:shd w:val="clear" w:color="000000" w:fill="D8D8D8"/>
            <w:vAlign w:val="center"/>
          </w:tcPr>
          <w:p>
            <w:pPr>
              <w:widowControl/>
              <w:jc w:val="lef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227</w:t>
            </w:r>
          </w:p>
        </w:tc>
        <w:tc>
          <w:tcPr>
            <w:tcW w:w="4646" w:type="dxa"/>
            <w:tcBorders>
              <w:top w:val="nil"/>
              <w:left w:val="nil"/>
              <w:bottom w:val="single" w:color="auto" w:sz="8" w:space="0"/>
              <w:right w:val="single" w:color="auto" w:sz="8" w:space="0"/>
            </w:tcBorders>
            <w:shd w:val="clear" w:color="000000" w:fill="D8D8D8"/>
            <w:vAlign w:val="center"/>
          </w:tcPr>
          <w:p>
            <w:pPr>
              <w:widowControl/>
              <w:jc w:val="lef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预备费</w:t>
            </w:r>
          </w:p>
        </w:tc>
        <w:tc>
          <w:tcPr>
            <w:tcW w:w="2127" w:type="dxa"/>
            <w:tcBorders>
              <w:top w:val="nil"/>
              <w:left w:val="nil"/>
              <w:bottom w:val="single" w:color="auto" w:sz="8" w:space="0"/>
              <w:right w:val="single" w:color="auto" w:sz="8" w:space="0"/>
            </w:tcBorders>
            <w:shd w:val="clear" w:color="000000" w:fill="D8D8D8"/>
            <w:vAlign w:val="center"/>
          </w:tcPr>
          <w:p>
            <w:pPr>
              <w:widowControl/>
              <w:jc w:val="right"/>
              <w:rPr>
                <w:rFonts w:hint="default" w:ascii="仿宋_GB2312" w:hAnsi="宋体" w:eastAsia="仿宋_GB2312" w:cs="宋体"/>
                <w:b/>
                <w:bCs/>
                <w:color w:val="000000"/>
                <w:kern w:val="0"/>
                <w:sz w:val="24"/>
                <w:lang w:val="en-US" w:eastAsia="zh-CN"/>
              </w:rPr>
            </w:pPr>
            <w:r>
              <w:rPr>
                <w:rFonts w:hint="eastAsia" w:ascii="仿宋_GB2312" w:hAnsi="宋体" w:eastAsia="仿宋_GB2312" w:cs="宋体"/>
                <w:b/>
                <w:bCs/>
                <w:color w:val="000000"/>
                <w:kern w:val="0"/>
                <w:sz w:val="24"/>
                <w:lang w:val="en-US" w:eastAsia="zh-CN"/>
              </w:rPr>
              <w:t>463</w:t>
            </w:r>
          </w:p>
        </w:tc>
      </w:tr>
      <w:tr>
        <w:tblPrEx>
          <w:tblCellMar>
            <w:top w:w="0" w:type="dxa"/>
            <w:left w:w="108" w:type="dxa"/>
            <w:bottom w:w="0" w:type="dxa"/>
            <w:right w:w="108" w:type="dxa"/>
          </w:tblCellMar>
        </w:tblPrEx>
        <w:trPr>
          <w:trHeight w:val="402" w:hRule="atLeast"/>
        </w:trPr>
        <w:tc>
          <w:tcPr>
            <w:tcW w:w="6706" w:type="dxa"/>
            <w:gridSpan w:val="2"/>
            <w:tcBorders>
              <w:top w:val="single" w:color="auto" w:sz="8" w:space="0"/>
              <w:left w:val="single" w:color="auto" w:sz="8" w:space="0"/>
              <w:bottom w:val="single" w:color="auto" w:sz="8" w:space="0"/>
              <w:right w:val="single" w:color="000000" w:sz="8" w:space="0"/>
            </w:tcBorders>
            <w:shd w:val="clear" w:color="000000" w:fill="BFBFBF"/>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一般公共预算支出合计</w:t>
            </w:r>
          </w:p>
        </w:tc>
        <w:tc>
          <w:tcPr>
            <w:tcW w:w="2127" w:type="dxa"/>
            <w:tcBorders>
              <w:top w:val="nil"/>
              <w:left w:val="nil"/>
              <w:bottom w:val="single" w:color="auto" w:sz="8" w:space="0"/>
              <w:right w:val="single" w:color="auto" w:sz="8" w:space="0"/>
            </w:tcBorders>
            <w:shd w:val="clear" w:color="000000" w:fill="BFBFBF"/>
            <w:vAlign w:val="center"/>
          </w:tcPr>
          <w:p>
            <w:pPr>
              <w:widowControl/>
              <w:jc w:val="righ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46,100</w:t>
            </w:r>
          </w:p>
        </w:tc>
      </w:tr>
    </w:tbl>
    <w:p>
      <w:pPr>
        <w:tabs>
          <w:tab w:val="left" w:pos="4320"/>
        </w:tabs>
        <w:spacing w:line="360" w:lineRule="auto"/>
        <w:jc w:val="center"/>
        <w:rPr>
          <w:rFonts w:ascii="仿宋_GB2312" w:eastAsia="仿宋_GB2312"/>
          <w:b/>
          <w:color w:val="000000" w:themeColor="text1"/>
          <w:sz w:val="32"/>
          <w:szCs w:val="32"/>
        </w:rPr>
      </w:pPr>
    </w:p>
    <w:p>
      <w:pPr>
        <w:tabs>
          <w:tab w:val="left" w:pos="4320"/>
        </w:tabs>
        <w:spacing w:line="360" w:lineRule="auto"/>
        <w:rPr>
          <w:rFonts w:ascii="仿宋_GB2312" w:eastAsia="仿宋_GB2312"/>
          <w:b/>
          <w:color w:val="000000" w:themeColor="text1"/>
          <w:sz w:val="32"/>
          <w:szCs w:val="32"/>
        </w:rPr>
      </w:pPr>
    </w:p>
    <w:p>
      <w:pPr>
        <w:tabs>
          <w:tab w:val="left" w:pos="4320"/>
        </w:tabs>
        <w:spacing w:line="360" w:lineRule="auto"/>
        <w:rPr>
          <w:rFonts w:ascii="仿宋_GB2312" w:eastAsia="仿宋_GB2312"/>
          <w:b/>
          <w:color w:val="000000" w:themeColor="text1"/>
          <w:sz w:val="32"/>
          <w:szCs w:val="32"/>
        </w:rPr>
      </w:pPr>
    </w:p>
    <w:p>
      <w:pPr>
        <w:tabs>
          <w:tab w:val="left" w:pos="4320"/>
        </w:tabs>
        <w:spacing w:line="360" w:lineRule="auto"/>
        <w:rPr>
          <w:rFonts w:ascii="仿宋_GB2312" w:eastAsia="仿宋_GB2312"/>
          <w:b/>
          <w:color w:val="000000" w:themeColor="text1"/>
          <w:sz w:val="32"/>
          <w:szCs w:val="32"/>
        </w:rPr>
      </w:pPr>
    </w:p>
    <w:tbl>
      <w:tblPr>
        <w:tblStyle w:val="15"/>
        <w:tblW w:w="8662" w:type="dxa"/>
        <w:tblInd w:w="93" w:type="dxa"/>
        <w:tblLayout w:type="autofit"/>
        <w:tblCellMar>
          <w:top w:w="0" w:type="dxa"/>
          <w:left w:w="108" w:type="dxa"/>
          <w:bottom w:w="0" w:type="dxa"/>
          <w:right w:w="108" w:type="dxa"/>
        </w:tblCellMar>
      </w:tblPr>
      <w:tblGrid>
        <w:gridCol w:w="2140"/>
        <w:gridCol w:w="4254"/>
        <w:gridCol w:w="2268"/>
      </w:tblGrid>
      <w:tr>
        <w:tblPrEx>
          <w:tblCellMar>
            <w:top w:w="0" w:type="dxa"/>
            <w:left w:w="108" w:type="dxa"/>
            <w:bottom w:w="0" w:type="dxa"/>
            <w:right w:w="108" w:type="dxa"/>
          </w:tblCellMar>
        </w:tblPrEx>
        <w:trPr>
          <w:trHeight w:val="990" w:hRule="atLeast"/>
        </w:trPr>
        <w:tc>
          <w:tcPr>
            <w:tcW w:w="8662" w:type="dxa"/>
            <w:gridSpan w:val="3"/>
            <w:tcBorders>
              <w:top w:val="nil"/>
              <w:left w:val="nil"/>
              <w:bottom w:val="nil"/>
              <w:right w:val="nil"/>
            </w:tcBorders>
            <w:shd w:val="clear" w:color="auto" w:fill="auto"/>
            <w:noWrap/>
            <w:vAlign w:val="center"/>
          </w:tcPr>
          <w:p>
            <w:pPr>
              <w:pStyle w:val="4"/>
              <w:jc w:val="center"/>
              <w:rPr>
                <w:rFonts w:ascii="仿宋_GB2312" w:eastAsia="仿宋_GB2312"/>
                <w:color w:val="000000" w:themeColor="text1"/>
              </w:rPr>
            </w:pPr>
            <w:bookmarkStart w:id="16" w:name="_Toc60125997"/>
            <w:r>
              <w:rPr>
                <w:rFonts w:hint="eastAsia" w:ascii="仿宋_GB2312" w:eastAsia="仿宋_GB2312"/>
                <w:color w:val="000000" w:themeColor="text1"/>
              </w:rPr>
              <w:t>§5  2021年区本级基本支出经济分类表</w:t>
            </w:r>
            <w:bookmarkEnd w:id="16"/>
          </w:p>
        </w:tc>
      </w:tr>
      <w:tr>
        <w:tblPrEx>
          <w:tblCellMar>
            <w:top w:w="0" w:type="dxa"/>
            <w:left w:w="108" w:type="dxa"/>
            <w:bottom w:w="0" w:type="dxa"/>
            <w:right w:w="108" w:type="dxa"/>
          </w:tblCellMar>
        </w:tblPrEx>
        <w:trPr>
          <w:trHeight w:val="660" w:hRule="atLeast"/>
        </w:trPr>
        <w:tc>
          <w:tcPr>
            <w:tcW w:w="2140" w:type="dxa"/>
            <w:tcBorders>
              <w:top w:val="nil"/>
              <w:left w:val="nil"/>
              <w:bottom w:val="nil"/>
              <w:right w:val="nil"/>
            </w:tcBorders>
            <w:shd w:val="clear" w:color="auto" w:fill="auto"/>
            <w:vAlign w:val="center"/>
          </w:tcPr>
          <w:p>
            <w:pPr>
              <w:widowControl/>
              <w:jc w:val="right"/>
              <w:rPr>
                <w:rFonts w:ascii="宋体" w:hAnsi="宋体" w:cs="宋体"/>
                <w:color w:val="000000"/>
                <w:kern w:val="0"/>
                <w:sz w:val="24"/>
              </w:rPr>
            </w:pPr>
          </w:p>
        </w:tc>
        <w:tc>
          <w:tcPr>
            <w:tcW w:w="6522" w:type="dxa"/>
            <w:gridSpan w:val="2"/>
            <w:tcBorders>
              <w:top w:val="nil"/>
              <w:left w:val="nil"/>
              <w:bottom w:val="single" w:color="auto" w:sz="8" w:space="0"/>
              <w:right w:val="nil"/>
            </w:tcBorders>
            <w:shd w:val="clear" w:color="auto" w:fill="auto"/>
            <w:vAlign w:val="center"/>
          </w:tcPr>
          <w:p>
            <w:pPr>
              <w:widowControl/>
              <w:ind w:firstLine="600" w:firstLineChars="200"/>
              <w:jc w:val="right"/>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单位：万元</w:t>
            </w:r>
          </w:p>
        </w:tc>
      </w:tr>
      <w:tr>
        <w:tblPrEx>
          <w:tblCellMar>
            <w:top w:w="0" w:type="dxa"/>
            <w:left w:w="108" w:type="dxa"/>
            <w:bottom w:w="0" w:type="dxa"/>
            <w:right w:w="108" w:type="dxa"/>
          </w:tblCellMar>
        </w:tblPrEx>
        <w:trPr>
          <w:trHeight w:val="499" w:hRule="atLeast"/>
        </w:trPr>
        <w:tc>
          <w:tcPr>
            <w:tcW w:w="2140" w:type="dxa"/>
            <w:tcBorders>
              <w:top w:val="single" w:color="auto" w:sz="8" w:space="0"/>
              <w:left w:val="single" w:color="auto" w:sz="8" w:space="0"/>
              <w:bottom w:val="nil"/>
              <w:right w:val="single" w:color="auto" w:sz="8" w:space="0"/>
            </w:tcBorders>
            <w:shd w:val="clear" w:color="auto" w:fill="auto"/>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科目编码</w:t>
            </w:r>
          </w:p>
        </w:tc>
        <w:tc>
          <w:tcPr>
            <w:tcW w:w="4254" w:type="dxa"/>
            <w:tcBorders>
              <w:top w:val="nil"/>
              <w:left w:val="nil"/>
              <w:bottom w:val="nil"/>
              <w:right w:val="single" w:color="auto" w:sz="8" w:space="0"/>
            </w:tcBorders>
            <w:shd w:val="clear" w:color="auto" w:fill="auto"/>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科目名称</w:t>
            </w:r>
          </w:p>
        </w:tc>
        <w:tc>
          <w:tcPr>
            <w:tcW w:w="2268" w:type="dxa"/>
            <w:tcBorders>
              <w:top w:val="nil"/>
              <w:left w:val="nil"/>
              <w:bottom w:val="nil"/>
              <w:right w:val="single" w:color="auto" w:sz="8" w:space="0"/>
            </w:tcBorders>
            <w:shd w:val="clear" w:color="auto" w:fill="auto"/>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预算数</w:t>
            </w:r>
          </w:p>
        </w:tc>
      </w:tr>
      <w:tr>
        <w:tblPrEx>
          <w:tblCellMar>
            <w:top w:w="0" w:type="dxa"/>
            <w:left w:w="108" w:type="dxa"/>
            <w:bottom w:w="0" w:type="dxa"/>
            <w:right w:w="108" w:type="dxa"/>
          </w:tblCellMar>
        </w:tblPrEx>
        <w:trPr>
          <w:trHeight w:val="559" w:hRule="atLeast"/>
        </w:trPr>
        <w:tc>
          <w:tcPr>
            <w:tcW w:w="2140"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501</w:t>
            </w:r>
          </w:p>
        </w:tc>
        <w:tc>
          <w:tcPr>
            <w:tcW w:w="4254"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一、机关工资福利支出</w:t>
            </w:r>
          </w:p>
        </w:tc>
        <w:tc>
          <w:tcPr>
            <w:tcW w:w="2268" w:type="dxa"/>
            <w:tcBorders>
              <w:top w:val="single" w:color="auto" w:sz="4" w:space="0"/>
              <w:left w:val="nil"/>
              <w:bottom w:val="single" w:color="auto" w:sz="4" w:space="0"/>
              <w:right w:val="single" w:color="auto" w:sz="8" w:space="0"/>
            </w:tcBorders>
            <w:shd w:val="clear" w:color="auto" w:fill="auto"/>
            <w:vAlign w:val="center"/>
          </w:tcPr>
          <w:p>
            <w:pPr>
              <w:widowControl/>
              <w:jc w:val="righ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2,971</w:t>
            </w:r>
          </w:p>
        </w:tc>
      </w:tr>
      <w:tr>
        <w:tblPrEx>
          <w:tblCellMar>
            <w:top w:w="0" w:type="dxa"/>
            <w:left w:w="108" w:type="dxa"/>
            <w:bottom w:w="0" w:type="dxa"/>
            <w:right w:w="108" w:type="dxa"/>
          </w:tblCellMar>
        </w:tblPrEx>
        <w:trPr>
          <w:trHeight w:val="559" w:hRule="atLeast"/>
        </w:trPr>
        <w:tc>
          <w:tcPr>
            <w:tcW w:w="214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50101</w:t>
            </w:r>
          </w:p>
        </w:tc>
        <w:tc>
          <w:tcPr>
            <w:tcW w:w="4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xml:space="preserve">  工资奖金津补贴</w:t>
            </w:r>
          </w:p>
        </w:tc>
        <w:tc>
          <w:tcPr>
            <w:tcW w:w="2268"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2,063</w:t>
            </w:r>
          </w:p>
        </w:tc>
      </w:tr>
      <w:tr>
        <w:tblPrEx>
          <w:tblCellMar>
            <w:top w:w="0" w:type="dxa"/>
            <w:left w:w="108" w:type="dxa"/>
            <w:bottom w:w="0" w:type="dxa"/>
            <w:right w:w="108" w:type="dxa"/>
          </w:tblCellMar>
        </w:tblPrEx>
        <w:trPr>
          <w:trHeight w:val="559" w:hRule="atLeast"/>
        </w:trPr>
        <w:tc>
          <w:tcPr>
            <w:tcW w:w="214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50102</w:t>
            </w:r>
          </w:p>
        </w:tc>
        <w:tc>
          <w:tcPr>
            <w:tcW w:w="4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xml:space="preserve">  社会保障缴费</w:t>
            </w:r>
          </w:p>
        </w:tc>
        <w:tc>
          <w:tcPr>
            <w:tcW w:w="2268"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721</w:t>
            </w:r>
          </w:p>
        </w:tc>
      </w:tr>
      <w:tr>
        <w:tblPrEx>
          <w:tblCellMar>
            <w:top w:w="0" w:type="dxa"/>
            <w:left w:w="108" w:type="dxa"/>
            <w:bottom w:w="0" w:type="dxa"/>
            <w:right w:w="108" w:type="dxa"/>
          </w:tblCellMar>
        </w:tblPrEx>
        <w:trPr>
          <w:trHeight w:val="559" w:hRule="atLeast"/>
        </w:trPr>
        <w:tc>
          <w:tcPr>
            <w:tcW w:w="214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50103</w:t>
            </w:r>
          </w:p>
        </w:tc>
        <w:tc>
          <w:tcPr>
            <w:tcW w:w="4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xml:space="preserve">  住房公积金</w:t>
            </w:r>
          </w:p>
        </w:tc>
        <w:tc>
          <w:tcPr>
            <w:tcW w:w="2268"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187</w:t>
            </w:r>
          </w:p>
        </w:tc>
      </w:tr>
      <w:tr>
        <w:tblPrEx>
          <w:tblCellMar>
            <w:top w:w="0" w:type="dxa"/>
            <w:left w:w="108" w:type="dxa"/>
            <w:bottom w:w="0" w:type="dxa"/>
            <w:right w:w="108" w:type="dxa"/>
          </w:tblCellMar>
        </w:tblPrEx>
        <w:trPr>
          <w:trHeight w:val="559" w:hRule="atLeast"/>
        </w:trPr>
        <w:tc>
          <w:tcPr>
            <w:tcW w:w="214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502</w:t>
            </w:r>
          </w:p>
        </w:tc>
        <w:tc>
          <w:tcPr>
            <w:tcW w:w="4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二、机关商品和服务支出</w:t>
            </w:r>
          </w:p>
        </w:tc>
        <w:tc>
          <w:tcPr>
            <w:tcW w:w="2268"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253</w:t>
            </w:r>
          </w:p>
        </w:tc>
      </w:tr>
      <w:tr>
        <w:tblPrEx>
          <w:tblCellMar>
            <w:top w:w="0" w:type="dxa"/>
            <w:left w:w="108" w:type="dxa"/>
            <w:bottom w:w="0" w:type="dxa"/>
            <w:right w:w="108" w:type="dxa"/>
          </w:tblCellMar>
        </w:tblPrEx>
        <w:trPr>
          <w:trHeight w:val="559" w:hRule="atLeast"/>
        </w:trPr>
        <w:tc>
          <w:tcPr>
            <w:tcW w:w="214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50201</w:t>
            </w:r>
          </w:p>
        </w:tc>
        <w:tc>
          <w:tcPr>
            <w:tcW w:w="4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xml:space="preserve">  办公经费</w:t>
            </w:r>
          </w:p>
        </w:tc>
        <w:tc>
          <w:tcPr>
            <w:tcW w:w="2268"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196</w:t>
            </w:r>
          </w:p>
        </w:tc>
      </w:tr>
      <w:tr>
        <w:tblPrEx>
          <w:tblCellMar>
            <w:top w:w="0" w:type="dxa"/>
            <w:left w:w="108" w:type="dxa"/>
            <w:bottom w:w="0" w:type="dxa"/>
            <w:right w:w="108" w:type="dxa"/>
          </w:tblCellMar>
        </w:tblPrEx>
        <w:trPr>
          <w:trHeight w:val="559" w:hRule="atLeast"/>
        </w:trPr>
        <w:tc>
          <w:tcPr>
            <w:tcW w:w="214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50202</w:t>
            </w:r>
          </w:p>
        </w:tc>
        <w:tc>
          <w:tcPr>
            <w:tcW w:w="4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xml:space="preserve">  会议费</w:t>
            </w:r>
          </w:p>
        </w:tc>
        <w:tc>
          <w:tcPr>
            <w:tcW w:w="2268"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13</w:t>
            </w:r>
          </w:p>
        </w:tc>
      </w:tr>
      <w:tr>
        <w:tblPrEx>
          <w:tblCellMar>
            <w:top w:w="0" w:type="dxa"/>
            <w:left w:w="108" w:type="dxa"/>
            <w:bottom w:w="0" w:type="dxa"/>
            <w:right w:w="108" w:type="dxa"/>
          </w:tblCellMar>
        </w:tblPrEx>
        <w:trPr>
          <w:trHeight w:val="559" w:hRule="atLeast"/>
        </w:trPr>
        <w:tc>
          <w:tcPr>
            <w:tcW w:w="214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50203</w:t>
            </w:r>
          </w:p>
        </w:tc>
        <w:tc>
          <w:tcPr>
            <w:tcW w:w="4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xml:space="preserve">  培训费</w:t>
            </w:r>
          </w:p>
        </w:tc>
        <w:tc>
          <w:tcPr>
            <w:tcW w:w="2268"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3</w:t>
            </w:r>
          </w:p>
        </w:tc>
      </w:tr>
      <w:tr>
        <w:tblPrEx>
          <w:tblCellMar>
            <w:top w:w="0" w:type="dxa"/>
            <w:left w:w="108" w:type="dxa"/>
            <w:bottom w:w="0" w:type="dxa"/>
            <w:right w:w="108" w:type="dxa"/>
          </w:tblCellMar>
        </w:tblPrEx>
        <w:trPr>
          <w:trHeight w:val="559" w:hRule="atLeast"/>
        </w:trPr>
        <w:tc>
          <w:tcPr>
            <w:tcW w:w="214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50206</w:t>
            </w:r>
          </w:p>
        </w:tc>
        <w:tc>
          <w:tcPr>
            <w:tcW w:w="4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xml:space="preserve">  公务接待费</w:t>
            </w:r>
          </w:p>
        </w:tc>
        <w:tc>
          <w:tcPr>
            <w:tcW w:w="2268"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4</w:t>
            </w:r>
          </w:p>
        </w:tc>
      </w:tr>
      <w:tr>
        <w:tblPrEx>
          <w:tblCellMar>
            <w:top w:w="0" w:type="dxa"/>
            <w:left w:w="108" w:type="dxa"/>
            <w:bottom w:w="0" w:type="dxa"/>
            <w:right w:w="108" w:type="dxa"/>
          </w:tblCellMar>
        </w:tblPrEx>
        <w:trPr>
          <w:trHeight w:val="559" w:hRule="atLeast"/>
        </w:trPr>
        <w:tc>
          <w:tcPr>
            <w:tcW w:w="214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50208</w:t>
            </w:r>
          </w:p>
        </w:tc>
        <w:tc>
          <w:tcPr>
            <w:tcW w:w="4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xml:space="preserve">  公务用车运行维护费</w:t>
            </w:r>
          </w:p>
        </w:tc>
        <w:tc>
          <w:tcPr>
            <w:tcW w:w="2268"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36</w:t>
            </w:r>
          </w:p>
        </w:tc>
      </w:tr>
      <w:tr>
        <w:tblPrEx>
          <w:tblCellMar>
            <w:top w:w="0" w:type="dxa"/>
            <w:left w:w="108" w:type="dxa"/>
            <w:bottom w:w="0" w:type="dxa"/>
            <w:right w:w="108" w:type="dxa"/>
          </w:tblCellMar>
        </w:tblPrEx>
        <w:trPr>
          <w:trHeight w:val="559" w:hRule="atLeast"/>
        </w:trPr>
        <w:tc>
          <w:tcPr>
            <w:tcW w:w="214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505</w:t>
            </w:r>
          </w:p>
        </w:tc>
        <w:tc>
          <w:tcPr>
            <w:tcW w:w="4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三、对事业单位经常性补助</w:t>
            </w:r>
          </w:p>
        </w:tc>
        <w:tc>
          <w:tcPr>
            <w:tcW w:w="2268"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1,875</w:t>
            </w:r>
          </w:p>
        </w:tc>
      </w:tr>
      <w:tr>
        <w:tblPrEx>
          <w:tblCellMar>
            <w:top w:w="0" w:type="dxa"/>
            <w:left w:w="108" w:type="dxa"/>
            <w:bottom w:w="0" w:type="dxa"/>
            <w:right w:w="108" w:type="dxa"/>
          </w:tblCellMar>
        </w:tblPrEx>
        <w:trPr>
          <w:trHeight w:val="559" w:hRule="atLeast"/>
        </w:trPr>
        <w:tc>
          <w:tcPr>
            <w:tcW w:w="214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50501</w:t>
            </w:r>
          </w:p>
        </w:tc>
        <w:tc>
          <w:tcPr>
            <w:tcW w:w="4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xml:space="preserve">  工资福利支出</w:t>
            </w:r>
          </w:p>
        </w:tc>
        <w:tc>
          <w:tcPr>
            <w:tcW w:w="2268"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1,875</w:t>
            </w:r>
          </w:p>
        </w:tc>
      </w:tr>
      <w:tr>
        <w:tblPrEx>
          <w:tblCellMar>
            <w:top w:w="0" w:type="dxa"/>
            <w:left w:w="108" w:type="dxa"/>
            <w:bottom w:w="0" w:type="dxa"/>
            <w:right w:w="108" w:type="dxa"/>
          </w:tblCellMar>
        </w:tblPrEx>
        <w:trPr>
          <w:trHeight w:val="559" w:hRule="atLeast"/>
        </w:trPr>
        <w:tc>
          <w:tcPr>
            <w:tcW w:w="214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509</w:t>
            </w:r>
          </w:p>
        </w:tc>
        <w:tc>
          <w:tcPr>
            <w:tcW w:w="4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四、对个人和家庭的补助</w:t>
            </w:r>
          </w:p>
        </w:tc>
        <w:tc>
          <w:tcPr>
            <w:tcW w:w="2268"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14</w:t>
            </w:r>
          </w:p>
        </w:tc>
      </w:tr>
      <w:tr>
        <w:tblPrEx>
          <w:tblCellMar>
            <w:top w:w="0" w:type="dxa"/>
            <w:left w:w="108" w:type="dxa"/>
            <w:bottom w:w="0" w:type="dxa"/>
            <w:right w:w="108" w:type="dxa"/>
          </w:tblCellMar>
        </w:tblPrEx>
        <w:trPr>
          <w:trHeight w:val="559" w:hRule="atLeast"/>
        </w:trPr>
        <w:tc>
          <w:tcPr>
            <w:tcW w:w="214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50905</w:t>
            </w:r>
          </w:p>
        </w:tc>
        <w:tc>
          <w:tcPr>
            <w:tcW w:w="4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xml:space="preserve">  离退休费</w:t>
            </w:r>
          </w:p>
        </w:tc>
        <w:tc>
          <w:tcPr>
            <w:tcW w:w="2268"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14</w:t>
            </w:r>
          </w:p>
        </w:tc>
      </w:tr>
      <w:tr>
        <w:tblPrEx>
          <w:tblCellMar>
            <w:top w:w="0" w:type="dxa"/>
            <w:left w:w="108" w:type="dxa"/>
            <w:bottom w:w="0" w:type="dxa"/>
            <w:right w:w="108" w:type="dxa"/>
          </w:tblCellMar>
        </w:tblPrEx>
        <w:trPr>
          <w:trHeight w:val="559" w:hRule="atLeast"/>
        </w:trPr>
        <w:tc>
          <w:tcPr>
            <w:tcW w:w="6394" w:type="dxa"/>
            <w:gridSpan w:val="2"/>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center"/>
              <w:rPr>
                <w:rFonts w:ascii="宋体" w:hAnsi="宋体" w:cs="宋体"/>
                <w:b/>
                <w:bCs/>
                <w:kern w:val="0"/>
                <w:sz w:val="24"/>
              </w:rPr>
            </w:pPr>
            <w:r>
              <w:rPr>
                <w:rFonts w:hint="eastAsia" w:ascii="宋体" w:hAnsi="宋体" w:cs="宋体"/>
                <w:b/>
                <w:bCs/>
                <w:kern w:val="0"/>
                <w:sz w:val="24"/>
              </w:rPr>
              <w:t>支出合计</w:t>
            </w:r>
          </w:p>
        </w:tc>
        <w:tc>
          <w:tcPr>
            <w:tcW w:w="2268"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5,113</w:t>
            </w:r>
          </w:p>
        </w:tc>
      </w:tr>
    </w:tbl>
    <w:p>
      <w:pPr>
        <w:jc w:val="center"/>
        <w:rPr>
          <w:rFonts w:ascii="仿宋_GB2312" w:hAnsi="宋体" w:eastAsia="仿宋_GB2312" w:cs="宋体"/>
          <w:color w:val="000000" w:themeColor="text1"/>
          <w:kern w:val="0"/>
          <w:sz w:val="24"/>
        </w:rPr>
      </w:pPr>
    </w:p>
    <w:p>
      <w:pPr>
        <w:jc w:val="center"/>
        <w:rPr>
          <w:rFonts w:ascii="仿宋_GB2312" w:hAnsi="宋体" w:eastAsia="仿宋_GB2312" w:cs="宋体"/>
          <w:color w:val="000000" w:themeColor="text1"/>
          <w:kern w:val="0"/>
          <w:sz w:val="24"/>
        </w:rPr>
      </w:pPr>
    </w:p>
    <w:p>
      <w:pPr>
        <w:jc w:val="center"/>
        <w:rPr>
          <w:rFonts w:ascii="仿宋_GB2312" w:eastAsia="仿宋_GB2312"/>
          <w:b/>
          <w:color w:val="000000" w:themeColor="text1"/>
          <w:sz w:val="30"/>
          <w:szCs w:val="30"/>
        </w:rPr>
      </w:pPr>
    </w:p>
    <w:p>
      <w:pPr>
        <w:pStyle w:val="4"/>
        <w:jc w:val="center"/>
        <w:rPr>
          <w:rFonts w:ascii="仿宋_GB2312" w:eastAsia="仿宋_GB2312"/>
          <w:color w:val="000000" w:themeColor="text1"/>
        </w:rPr>
      </w:pPr>
      <w:bookmarkStart w:id="17" w:name="_Toc60125998"/>
      <w:bookmarkStart w:id="18" w:name="_Toc503275889"/>
      <w:r>
        <w:rPr>
          <w:rFonts w:hint="eastAsia" w:ascii="仿宋_GB2312" w:eastAsia="仿宋_GB2312"/>
          <w:color w:val="000000" w:themeColor="text1"/>
        </w:rPr>
        <w:t>§6  2021年财政资金安排</w:t>
      </w:r>
      <w:r>
        <w:rPr>
          <w:rFonts w:hint="eastAsia" w:ascii="仿宋_GB2312" w:eastAsia="仿宋_GB2312"/>
          <w:color w:val="000000" w:themeColor="text1"/>
          <w:lang w:eastAsia="zh-CN"/>
        </w:rPr>
        <w:t>“三公”经费</w:t>
      </w:r>
      <w:r>
        <w:rPr>
          <w:rFonts w:hint="eastAsia" w:ascii="仿宋_GB2312" w:eastAsia="仿宋_GB2312"/>
          <w:color w:val="000000" w:themeColor="text1"/>
        </w:rPr>
        <w:t>预算情况</w:t>
      </w:r>
      <w:bookmarkEnd w:id="17"/>
      <w:bookmarkEnd w:id="18"/>
    </w:p>
    <w:p>
      <w:pPr>
        <w:ind w:firstLine="615"/>
        <w:rPr>
          <w:rFonts w:ascii="仿宋_GB2312" w:eastAsia="仿宋_GB2312"/>
          <w:color w:val="000000" w:themeColor="text1"/>
          <w:sz w:val="30"/>
          <w:szCs w:val="30"/>
        </w:rPr>
      </w:pPr>
      <w:r>
        <w:rPr>
          <w:rFonts w:hint="eastAsia" w:ascii="仿宋_GB2312" w:eastAsia="仿宋_GB2312"/>
          <w:color w:val="000000" w:themeColor="text1"/>
          <w:sz w:val="30"/>
          <w:szCs w:val="30"/>
        </w:rPr>
        <w:t>2021年我区预算安排</w:t>
      </w:r>
      <w:r>
        <w:rPr>
          <w:rFonts w:hint="eastAsia" w:ascii="仿宋_GB2312" w:eastAsia="仿宋_GB2312"/>
          <w:color w:val="000000" w:themeColor="text1"/>
          <w:sz w:val="30"/>
          <w:szCs w:val="30"/>
          <w:lang w:eastAsia="zh-CN"/>
        </w:rPr>
        <w:t>“三公”经费</w:t>
      </w:r>
      <w:r>
        <w:rPr>
          <w:rFonts w:hint="eastAsia" w:ascii="仿宋_GB2312" w:eastAsia="仿宋_GB2312"/>
          <w:color w:val="000000" w:themeColor="text1"/>
          <w:sz w:val="30"/>
          <w:szCs w:val="30"/>
        </w:rPr>
        <w:t>178万元，预计同比下降5.32%。主要包括公务用车运行费86万元，车辆购置费20万元，同比下降28.57%，公务接待费42万元，同比下降4.55%，因公出国经费30万元。</w:t>
      </w:r>
    </w:p>
    <w:p>
      <w:pPr>
        <w:ind w:firstLine="615"/>
        <w:rPr>
          <w:rFonts w:ascii="仿宋_GB2312" w:hAnsi="宋体" w:eastAsia="仿宋_GB2312" w:cs="宋体"/>
          <w:color w:val="000000" w:themeColor="text1"/>
          <w:kern w:val="0"/>
          <w:sz w:val="24"/>
        </w:rPr>
      </w:pPr>
      <w:r>
        <w:rPr>
          <w:rFonts w:hint="eastAsia" w:ascii="仿宋_GB2312" w:eastAsia="仿宋_GB2312"/>
          <w:color w:val="000000" w:themeColor="text1"/>
          <w:sz w:val="30"/>
          <w:szCs w:val="30"/>
        </w:rPr>
        <w:t>具体如下：</w:t>
      </w:r>
    </w:p>
    <w:tbl>
      <w:tblPr>
        <w:tblStyle w:val="15"/>
        <w:tblW w:w="10540" w:type="dxa"/>
        <w:tblInd w:w="93" w:type="dxa"/>
        <w:tblLayout w:type="autofit"/>
        <w:tblCellMar>
          <w:top w:w="0" w:type="dxa"/>
          <w:left w:w="108" w:type="dxa"/>
          <w:bottom w:w="0" w:type="dxa"/>
          <w:right w:w="108" w:type="dxa"/>
        </w:tblCellMar>
      </w:tblPr>
      <w:tblGrid>
        <w:gridCol w:w="3021"/>
        <w:gridCol w:w="2126"/>
        <w:gridCol w:w="2552"/>
        <w:gridCol w:w="1417"/>
        <w:gridCol w:w="1424"/>
      </w:tblGrid>
      <w:tr>
        <w:tblPrEx>
          <w:tblCellMar>
            <w:top w:w="0" w:type="dxa"/>
            <w:left w:w="108" w:type="dxa"/>
            <w:bottom w:w="0" w:type="dxa"/>
            <w:right w:w="108" w:type="dxa"/>
          </w:tblCellMar>
        </w:tblPrEx>
        <w:trPr>
          <w:trHeight w:val="300" w:hRule="atLeast"/>
        </w:trPr>
        <w:tc>
          <w:tcPr>
            <w:tcW w:w="3021" w:type="dxa"/>
            <w:tcBorders>
              <w:top w:val="nil"/>
              <w:left w:val="nil"/>
              <w:bottom w:val="nil"/>
              <w:right w:val="nil"/>
            </w:tcBorders>
            <w:shd w:val="clear" w:color="auto" w:fill="auto"/>
            <w:vAlign w:val="center"/>
          </w:tcPr>
          <w:p>
            <w:pPr>
              <w:widowControl/>
              <w:jc w:val="left"/>
              <w:rPr>
                <w:rFonts w:ascii="Calibri" w:hAnsi="Calibri" w:cs="宋体"/>
                <w:color w:val="000000"/>
                <w:kern w:val="0"/>
                <w:szCs w:val="21"/>
              </w:rPr>
            </w:pPr>
          </w:p>
        </w:tc>
        <w:tc>
          <w:tcPr>
            <w:tcW w:w="2126" w:type="dxa"/>
            <w:tcBorders>
              <w:top w:val="nil"/>
              <w:left w:val="nil"/>
              <w:bottom w:val="nil"/>
              <w:right w:val="nil"/>
            </w:tcBorders>
            <w:shd w:val="clear" w:color="auto" w:fill="auto"/>
            <w:vAlign w:val="center"/>
          </w:tcPr>
          <w:p>
            <w:pPr>
              <w:widowControl/>
              <w:jc w:val="left"/>
              <w:rPr>
                <w:rFonts w:ascii="Calibri" w:hAnsi="Calibri" w:cs="宋体"/>
                <w:color w:val="000000"/>
                <w:kern w:val="0"/>
                <w:szCs w:val="21"/>
              </w:rPr>
            </w:pPr>
          </w:p>
        </w:tc>
        <w:tc>
          <w:tcPr>
            <w:tcW w:w="2552" w:type="dxa"/>
            <w:tcBorders>
              <w:top w:val="nil"/>
              <w:left w:val="nil"/>
              <w:bottom w:val="nil"/>
              <w:right w:val="nil"/>
            </w:tcBorders>
            <w:shd w:val="clear" w:color="auto" w:fill="auto"/>
            <w:vAlign w:val="center"/>
          </w:tcPr>
          <w:p>
            <w:pPr>
              <w:widowControl/>
              <w:jc w:val="left"/>
              <w:rPr>
                <w:rFonts w:ascii="Calibri" w:hAnsi="Calibri" w:cs="宋体"/>
                <w:color w:val="000000"/>
                <w:kern w:val="0"/>
                <w:szCs w:val="21"/>
              </w:rPr>
            </w:pPr>
          </w:p>
        </w:tc>
        <w:tc>
          <w:tcPr>
            <w:tcW w:w="1417" w:type="dxa"/>
            <w:tcBorders>
              <w:top w:val="nil"/>
              <w:left w:val="nil"/>
              <w:bottom w:val="nil"/>
              <w:right w:val="nil"/>
            </w:tcBorders>
            <w:shd w:val="clear" w:color="auto" w:fill="auto"/>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单位：万元</w:t>
            </w:r>
          </w:p>
        </w:tc>
        <w:tc>
          <w:tcPr>
            <w:tcW w:w="1424" w:type="dxa"/>
            <w:tcBorders>
              <w:top w:val="nil"/>
              <w:left w:val="nil"/>
              <w:bottom w:val="nil"/>
              <w:right w:val="nil"/>
            </w:tcBorders>
            <w:shd w:val="clear" w:color="auto" w:fill="auto"/>
            <w:vAlign w:val="center"/>
          </w:tcPr>
          <w:p>
            <w:pPr>
              <w:widowControl/>
              <w:jc w:val="left"/>
              <w:rPr>
                <w:rFonts w:ascii="Calibri" w:hAnsi="Calibri" w:cs="宋体"/>
                <w:color w:val="000000"/>
                <w:kern w:val="0"/>
                <w:szCs w:val="21"/>
              </w:rPr>
            </w:pPr>
          </w:p>
        </w:tc>
      </w:tr>
      <w:tr>
        <w:tblPrEx>
          <w:tblCellMar>
            <w:top w:w="0" w:type="dxa"/>
            <w:left w:w="108" w:type="dxa"/>
            <w:bottom w:w="0" w:type="dxa"/>
            <w:right w:w="108" w:type="dxa"/>
          </w:tblCellMar>
        </w:tblPrEx>
        <w:trPr>
          <w:trHeight w:val="555" w:hRule="atLeast"/>
        </w:trPr>
        <w:tc>
          <w:tcPr>
            <w:tcW w:w="3021"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项 目</w:t>
            </w:r>
          </w:p>
        </w:tc>
        <w:tc>
          <w:tcPr>
            <w:tcW w:w="2126"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2020年预算安排</w:t>
            </w:r>
          </w:p>
        </w:tc>
        <w:tc>
          <w:tcPr>
            <w:tcW w:w="2552"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2021年预算安排情况</w:t>
            </w:r>
          </w:p>
        </w:tc>
        <w:tc>
          <w:tcPr>
            <w:tcW w:w="1417"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同比</w:t>
            </w:r>
          </w:p>
        </w:tc>
        <w:tc>
          <w:tcPr>
            <w:tcW w:w="1424" w:type="dxa"/>
            <w:tcBorders>
              <w:top w:val="nil"/>
              <w:left w:val="nil"/>
              <w:bottom w:val="nil"/>
              <w:right w:val="nil"/>
            </w:tcBorders>
            <w:shd w:val="clear" w:color="auto" w:fill="auto"/>
            <w:vAlign w:val="center"/>
          </w:tcPr>
          <w:p>
            <w:pPr>
              <w:widowControl/>
              <w:jc w:val="left"/>
              <w:rPr>
                <w:rFonts w:ascii="Calibri" w:hAnsi="Calibri" w:cs="宋体"/>
                <w:color w:val="000000"/>
                <w:kern w:val="0"/>
                <w:szCs w:val="21"/>
              </w:rPr>
            </w:pPr>
          </w:p>
        </w:tc>
      </w:tr>
      <w:tr>
        <w:tblPrEx>
          <w:tblCellMar>
            <w:top w:w="0" w:type="dxa"/>
            <w:left w:w="108" w:type="dxa"/>
            <w:bottom w:w="0" w:type="dxa"/>
            <w:right w:w="108" w:type="dxa"/>
          </w:tblCellMar>
        </w:tblPrEx>
        <w:trPr>
          <w:trHeight w:val="300" w:hRule="atLeast"/>
        </w:trPr>
        <w:tc>
          <w:tcPr>
            <w:tcW w:w="3021"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color w:val="000000"/>
                <w:kern w:val="0"/>
                <w:sz w:val="24"/>
              </w:rPr>
            </w:pPr>
          </w:p>
        </w:tc>
        <w:tc>
          <w:tcPr>
            <w:tcW w:w="2126"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color w:val="000000"/>
                <w:kern w:val="0"/>
                <w:sz w:val="24"/>
              </w:rPr>
            </w:pPr>
          </w:p>
        </w:tc>
        <w:tc>
          <w:tcPr>
            <w:tcW w:w="2552"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color w:val="000000"/>
                <w:kern w:val="0"/>
                <w:sz w:val="24"/>
              </w:rPr>
            </w:pPr>
          </w:p>
        </w:tc>
        <w:tc>
          <w:tcPr>
            <w:tcW w:w="1417"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color w:val="000000"/>
                <w:kern w:val="0"/>
                <w:sz w:val="24"/>
              </w:rPr>
            </w:pPr>
          </w:p>
        </w:tc>
        <w:tc>
          <w:tcPr>
            <w:tcW w:w="1424" w:type="dxa"/>
            <w:tcBorders>
              <w:top w:val="nil"/>
              <w:left w:val="nil"/>
              <w:bottom w:val="nil"/>
              <w:right w:val="nil"/>
            </w:tcBorders>
            <w:shd w:val="clear" w:color="auto" w:fill="auto"/>
            <w:vAlign w:val="center"/>
          </w:tcPr>
          <w:p>
            <w:pPr>
              <w:widowControl/>
              <w:jc w:val="left"/>
              <w:rPr>
                <w:rFonts w:ascii="Calibri" w:hAnsi="Calibri" w:cs="宋体"/>
                <w:color w:val="000000"/>
                <w:kern w:val="0"/>
                <w:szCs w:val="21"/>
              </w:rPr>
            </w:pPr>
          </w:p>
        </w:tc>
      </w:tr>
      <w:tr>
        <w:tblPrEx>
          <w:tblCellMar>
            <w:top w:w="0" w:type="dxa"/>
            <w:left w:w="108" w:type="dxa"/>
            <w:bottom w:w="0" w:type="dxa"/>
            <w:right w:w="108" w:type="dxa"/>
          </w:tblCellMar>
        </w:tblPrEx>
        <w:trPr>
          <w:trHeight w:val="600" w:hRule="atLeast"/>
        </w:trPr>
        <w:tc>
          <w:tcPr>
            <w:tcW w:w="3021"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公务用车运行费</w:t>
            </w:r>
          </w:p>
        </w:tc>
        <w:tc>
          <w:tcPr>
            <w:tcW w:w="21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86</w:t>
            </w:r>
          </w:p>
        </w:tc>
        <w:tc>
          <w:tcPr>
            <w:tcW w:w="255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86</w:t>
            </w:r>
          </w:p>
        </w:tc>
        <w:tc>
          <w:tcPr>
            <w:tcW w:w="141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0.00%</w:t>
            </w:r>
          </w:p>
        </w:tc>
        <w:tc>
          <w:tcPr>
            <w:tcW w:w="1424" w:type="dxa"/>
            <w:tcBorders>
              <w:top w:val="nil"/>
              <w:left w:val="nil"/>
              <w:bottom w:val="nil"/>
              <w:right w:val="nil"/>
            </w:tcBorders>
            <w:shd w:val="clear" w:color="auto" w:fill="auto"/>
            <w:vAlign w:val="center"/>
          </w:tcPr>
          <w:p>
            <w:pPr>
              <w:widowControl/>
              <w:jc w:val="left"/>
              <w:rPr>
                <w:rFonts w:ascii="Calibri" w:hAnsi="Calibri" w:cs="宋体"/>
                <w:color w:val="000000"/>
                <w:kern w:val="0"/>
                <w:szCs w:val="21"/>
              </w:rPr>
            </w:pPr>
          </w:p>
        </w:tc>
      </w:tr>
      <w:tr>
        <w:tblPrEx>
          <w:tblCellMar>
            <w:top w:w="0" w:type="dxa"/>
            <w:left w:w="108" w:type="dxa"/>
            <w:bottom w:w="0" w:type="dxa"/>
            <w:right w:w="108" w:type="dxa"/>
          </w:tblCellMar>
        </w:tblPrEx>
        <w:trPr>
          <w:trHeight w:val="600" w:hRule="atLeast"/>
        </w:trPr>
        <w:tc>
          <w:tcPr>
            <w:tcW w:w="3021"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公务用车购置费</w:t>
            </w:r>
          </w:p>
        </w:tc>
        <w:tc>
          <w:tcPr>
            <w:tcW w:w="21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28</w:t>
            </w:r>
          </w:p>
        </w:tc>
        <w:tc>
          <w:tcPr>
            <w:tcW w:w="255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20</w:t>
            </w:r>
          </w:p>
        </w:tc>
        <w:tc>
          <w:tcPr>
            <w:tcW w:w="141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-28.57%</w:t>
            </w:r>
          </w:p>
        </w:tc>
        <w:tc>
          <w:tcPr>
            <w:tcW w:w="1424" w:type="dxa"/>
            <w:tcBorders>
              <w:top w:val="nil"/>
              <w:left w:val="nil"/>
              <w:bottom w:val="nil"/>
              <w:right w:val="nil"/>
            </w:tcBorders>
            <w:shd w:val="clear" w:color="auto" w:fill="auto"/>
            <w:vAlign w:val="center"/>
          </w:tcPr>
          <w:p>
            <w:pPr>
              <w:widowControl/>
              <w:jc w:val="left"/>
              <w:rPr>
                <w:rFonts w:ascii="Calibri" w:hAnsi="Calibri" w:cs="宋体"/>
                <w:color w:val="000000"/>
                <w:kern w:val="0"/>
                <w:szCs w:val="21"/>
              </w:rPr>
            </w:pPr>
          </w:p>
        </w:tc>
      </w:tr>
      <w:tr>
        <w:tblPrEx>
          <w:tblCellMar>
            <w:top w:w="0" w:type="dxa"/>
            <w:left w:w="108" w:type="dxa"/>
            <w:bottom w:w="0" w:type="dxa"/>
            <w:right w:w="108" w:type="dxa"/>
          </w:tblCellMar>
        </w:tblPrEx>
        <w:trPr>
          <w:trHeight w:val="600" w:hRule="atLeast"/>
        </w:trPr>
        <w:tc>
          <w:tcPr>
            <w:tcW w:w="3021"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公务接待费</w:t>
            </w:r>
          </w:p>
        </w:tc>
        <w:tc>
          <w:tcPr>
            <w:tcW w:w="21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44</w:t>
            </w:r>
          </w:p>
        </w:tc>
        <w:tc>
          <w:tcPr>
            <w:tcW w:w="255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42</w:t>
            </w:r>
          </w:p>
        </w:tc>
        <w:tc>
          <w:tcPr>
            <w:tcW w:w="141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-4.55%</w:t>
            </w:r>
          </w:p>
        </w:tc>
        <w:tc>
          <w:tcPr>
            <w:tcW w:w="1424" w:type="dxa"/>
            <w:tcBorders>
              <w:top w:val="nil"/>
              <w:left w:val="nil"/>
              <w:bottom w:val="nil"/>
              <w:right w:val="nil"/>
            </w:tcBorders>
            <w:shd w:val="clear" w:color="auto" w:fill="auto"/>
            <w:vAlign w:val="center"/>
          </w:tcPr>
          <w:p>
            <w:pPr>
              <w:widowControl/>
              <w:jc w:val="left"/>
              <w:rPr>
                <w:rFonts w:ascii="Calibri" w:hAnsi="Calibri" w:cs="宋体"/>
                <w:color w:val="000000"/>
                <w:kern w:val="0"/>
                <w:szCs w:val="21"/>
              </w:rPr>
            </w:pPr>
          </w:p>
        </w:tc>
      </w:tr>
      <w:tr>
        <w:tblPrEx>
          <w:tblCellMar>
            <w:top w:w="0" w:type="dxa"/>
            <w:left w:w="108" w:type="dxa"/>
            <w:bottom w:w="0" w:type="dxa"/>
            <w:right w:w="108" w:type="dxa"/>
          </w:tblCellMar>
        </w:tblPrEx>
        <w:trPr>
          <w:trHeight w:val="600" w:hRule="atLeast"/>
        </w:trPr>
        <w:tc>
          <w:tcPr>
            <w:tcW w:w="3021"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因公出国（境）费</w:t>
            </w:r>
          </w:p>
        </w:tc>
        <w:tc>
          <w:tcPr>
            <w:tcW w:w="21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30</w:t>
            </w:r>
          </w:p>
        </w:tc>
        <w:tc>
          <w:tcPr>
            <w:tcW w:w="255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30</w:t>
            </w:r>
          </w:p>
        </w:tc>
        <w:tc>
          <w:tcPr>
            <w:tcW w:w="141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0.00%</w:t>
            </w:r>
          </w:p>
        </w:tc>
        <w:tc>
          <w:tcPr>
            <w:tcW w:w="1424" w:type="dxa"/>
            <w:tcBorders>
              <w:top w:val="nil"/>
              <w:left w:val="nil"/>
              <w:bottom w:val="nil"/>
              <w:right w:val="nil"/>
            </w:tcBorders>
            <w:shd w:val="clear" w:color="auto" w:fill="auto"/>
            <w:vAlign w:val="center"/>
          </w:tcPr>
          <w:p>
            <w:pPr>
              <w:widowControl/>
              <w:jc w:val="left"/>
              <w:rPr>
                <w:rFonts w:ascii="Calibri" w:hAnsi="Calibri" w:cs="宋体"/>
                <w:color w:val="000000"/>
                <w:kern w:val="0"/>
                <w:szCs w:val="21"/>
              </w:rPr>
            </w:pPr>
          </w:p>
        </w:tc>
      </w:tr>
      <w:tr>
        <w:tblPrEx>
          <w:tblCellMar>
            <w:top w:w="0" w:type="dxa"/>
            <w:left w:w="108" w:type="dxa"/>
            <w:bottom w:w="0" w:type="dxa"/>
            <w:right w:w="108" w:type="dxa"/>
          </w:tblCellMar>
        </w:tblPrEx>
        <w:trPr>
          <w:trHeight w:val="600" w:hRule="atLeast"/>
        </w:trPr>
        <w:tc>
          <w:tcPr>
            <w:tcW w:w="3021"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合 计</w:t>
            </w:r>
          </w:p>
        </w:tc>
        <w:tc>
          <w:tcPr>
            <w:tcW w:w="21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188</w:t>
            </w:r>
          </w:p>
        </w:tc>
        <w:tc>
          <w:tcPr>
            <w:tcW w:w="255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178</w:t>
            </w:r>
          </w:p>
        </w:tc>
        <w:tc>
          <w:tcPr>
            <w:tcW w:w="141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-5.32%</w:t>
            </w:r>
          </w:p>
        </w:tc>
        <w:tc>
          <w:tcPr>
            <w:tcW w:w="1424" w:type="dxa"/>
            <w:tcBorders>
              <w:top w:val="nil"/>
              <w:left w:val="nil"/>
              <w:bottom w:val="nil"/>
              <w:right w:val="nil"/>
            </w:tcBorders>
            <w:shd w:val="clear" w:color="auto" w:fill="auto"/>
            <w:vAlign w:val="center"/>
          </w:tcPr>
          <w:p>
            <w:pPr>
              <w:widowControl/>
              <w:jc w:val="left"/>
              <w:rPr>
                <w:rFonts w:ascii="Calibri" w:hAnsi="Calibri" w:cs="宋体"/>
                <w:color w:val="000000"/>
                <w:kern w:val="0"/>
                <w:szCs w:val="21"/>
              </w:rPr>
            </w:pPr>
          </w:p>
        </w:tc>
      </w:tr>
    </w:tbl>
    <w:p>
      <w:pPr>
        <w:ind w:firstLine="615"/>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pStyle w:val="3"/>
        <w:jc w:val="center"/>
        <w:rPr>
          <w:rFonts w:ascii="仿宋_GB2312" w:eastAsia="仿宋_GB2312"/>
          <w:b w:val="0"/>
          <w:color w:val="000000" w:themeColor="text1"/>
        </w:rPr>
      </w:pPr>
      <w:bookmarkStart w:id="19" w:name="_Toc60125999"/>
      <w:bookmarkStart w:id="20" w:name="_Toc500947600"/>
      <w:r>
        <w:rPr>
          <w:rFonts w:hint="eastAsia" w:ascii="仿宋_GB2312" w:eastAsia="仿宋_GB2312"/>
          <w:color w:val="000000" w:themeColor="text1"/>
        </w:rPr>
        <w:t>第三部分</w:t>
      </w:r>
      <w:r>
        <w:rPr>
          <w:rFonts w:ascii="仿宋_GB2312" w:eastAsia="仿宋_GB2312"/>
          <w:color w:val="000000" w:themeColor="text1"/>
        </w:rPr>
        <w:t xml:space="preserve">  </w:t>
      </w:r>
      <w:r>
        <w:rPr>
          <w:rFonts w:hint="eastAsia" w:ascii="仿宋_GB2312" w:eastAsia="仿宋_GB2312"/>
          <w:color w:val="000000" w:themeColor="text1"/>
        </w:rPr>
        <w:t>2021年沧州临港经济技术开发区政府性基金预算（草案）</w:t>
      </w:r>
      <w:bookmarkEnd w:id="19"/>
      <w:bookmarkEnd w:id="20"/>
    </w:p>
    <w:p>
      <w:pPr>
        <w:pStyle w:val="4"/>
        <w:jc w:val="center"/>
        <w:rPr>
          <w:rFonts w:ascii="仿宋_GB2312" w:eastAsia="仿宋_GB2312"/>
          <w:color w:val="000000" w:themeColor="text1"/>
        </w:rPr>
      </w:pPr>
      <w:bookmarkStart w:id="21" w:name="_Toc60126000"/>
      <w:bookmarkStart w:id="22" w:name="_Toc500947601"/>
      <w:r>
        <w:rPr>
          <w:rFonts w:hint="eastAsia" w:ascii="仿宋_GB2312" w:eastAsia="仿宋_GB2312"/>
          <w:color w:val="000000" w:themeColor="text1"/>
        </w:rPr>
        <w:t>§</w:t>
      </w:r>
      <w:r>
        <w:rPr>
          <w:rFonts w:ascii="仿宋_GB2312" w:eastAsia="仿宋_GB2312"/>
          <w:color w:val="000000" w:themeColor="text1"/>
        </w:rPr>
        <w:t xml:space="preserve">1  </w:t>
      </w:r>
      <w:r>
        <w:rPr>
          <w:rFonts w:hint="eastAsia" w:ascii="仿宋_GB2312" w:eastAsia="仿宋_GB2312"/>
          <w:color w:val="000000" w:themeColor="text1"/>
        </w:rPr>
        <w:t>2021年政府性基金预算收支安排</w:t>
      </w:r>
      <w:bookmarkEnd w:id="21"/>
      <w:bookmarkEnd w:id="22"/>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政府性基金预算是对依照法律、行政法规的规定在一定期限内向特定对象征收、收取或者以其他方式筹集的资金，专项用于特定公共事业发展的收支预算。</w:t>
      </w:r>
    </w:p>
    <w:p>
      <w:pPr>
        <w:ind w:firstLine="602" w:firstLineChars="200"/>
        <w:rPr>
          <w:rFonts w:ascii="仿宋_GB2312" w:eastAsia="仿宋_GB2312"/>
          <w:b/>
          <w:color w:val="000000" w:themeColor="text1"/>
          <w:sz w:val="30"/>
          <w:szCs w:val="30"/>
        </w:rPr>
      </w:pPr>
      <w:r>
        <w:rPr>
          <w:rFonts w:hint="eastAsia" w:ascii="仿宋_GB2312" w:eastAsia="仿宋_GB2312"/>
          <w:b/>
          <w:color w:val="000000" w:themeColor="text1"/>
          <w:sz w:val="30"/>
          <w:szCs w:val="30"/>
        </w:rPr>
        <w:t>一、预算编制的基本原则</w:t>
      </w:r>
    </w:p>
    <w:p>
      <w:pPr>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（一）科学完整、规范管理原则。</w:t>
      </w:r>
      <w:r>
        <w:rPr>
          <w:rFonts w:hint="eastAsia" w:ascii="仿宋_GB2312" w:eastAsia="仿宋_GB2312"/>
          <w:color w:val="000000" w:themeColor="text1"/>
          <w:sz w:val="30"/>
          <w:szCs w:val="30"/>
        </w:rPr>
        <w:t>按照政府性基金管理的法律、法规和制度要求，科学全面完整地反映各项政府性基金收入，按照规定支出范围合理安排相应的支出事项，做到预算编制不重复、不遗漏，提高预算编制的完整性。</w:t>
      </w:r>
    </w:p>
    <w:p>
      <w:pPr>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（二）以收定支、收支平衡原则。</w:t>
      </w:r>
      <w:r>
        <w:rPr>
          <w:rFonts w:hint="eastAsia" w:ascii="仿宋_GB2312" w:eastAsia="仿宋_GB2312"/>
          <w:color w:val="000000" w:themeColor="text1"/>
          <w:sz w:val="30"/>
          <w:szCs w:val="30"/>
        </w:rPr>
        <w:t>政府性基金预算应当根据基金项目收入情况和实际支出需要，按基金项目编制，做到以收定支。</w:t>
      </w:r>
    </w:p>
    <w:p>
      <w:pPr>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（三）严格标准、专款专用原则。</w:t>
      </w:r>
      <w:r>
        <w:rPr>
          <w:rFonts w:hint="eastAsia" w:ascii="仿宋_GB2312" w:eastAsia="仿宋_GB2312"/>
          <w:color w:val="000000" w:themeColor="text1"/>
          <w:sz w:val="30"/>
          <w:szCs w:val="30"/>
        </w:rPr>
        <w:t>政府性基金是经过法定程序批准征收的具有专门用途的财政资金，在编制政府性基金预算时，严格遵循规定的用途、支出范围和支出标准，做到专款专用。</w:t>
      </w:r>
    </w:p>
    <w:p>
      <w:pPr>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（四）统筹使用、强化绩效原则。</w:t>
      </w:r>
      <w:r>
        <w:rPr>
          <w:rFonts w:hint="eastAsia" w:ascii="仿宋_GB2312" w:eastAsia="仿宋_GB2312"/>
          <w:color w:val="000000" w:themeColor="text1"/>
          <w:sz w:val="30"/>
          <w:szCs w:val="30"/>
        </w:rPr>
        <w:t>做好与一般公共预算的有效衔接，统筹资金，整合项目，发挥资金整体效益。对项目资金使用情况实行绩效评价，逐步实现绩效考评结果与项目支出预算安排的有机结合，不断提高资金使用效益。</w:t>
      </w:r>
    </w:p>
    <w:p>
      <w:pPr>
        <w:ind w:firstLine="602" w:firstLineChars="200"/>
        <w:rPr>
          <w:rFonts w:ascii="仿宋_GB2312" w:eastAsia="仿宋_GB2312"/>
          <w:b/>
          <w:color w:val="000000" w:themeColor="text1"/>
          <w:sz w:val="30"/>
          <w:szCs w:val="30"/>
        </w:rPr>
      </w:pPr>
      <w:r>
        <w:rPr>
          <w:rFonts w:hint="eastAsia" w:ascii="仿宋_GB2312" w:eastAsia="仿宋_GB2312"/>
          <w:b/>
          <w:color w:val="000000" w:themeColor="text1"/>
          <w:sz w:val="30"/>
          <w:szCs w:val="30"/>
        </w:rPr>
        <w:t>二、政府性基金收支预算</w:t>
      </w:r>
    </w:p>
    <w:p>
      <w:pPr>
        <w:ind w:firstLine="600" w:firstLineChars="200"/>
        <w:rPr>
          <w:rFonts w:hint="eastAsia" w:ascii="仿宋_GB2312" w:eastAsia="仿宋_GB2312"/>
          <w:color w:val="000000" w:themeColor="text1"/>
          <w:sz w:val="30"/>
          <w:szCs w:val="30"/>
        </w:rPr>
      </w:pPr>
      <w:r>
        <w:rPr>
          <w:rFonts w:hint="eastAsia" w:ascii="仿宋_GB2312" w:eastAsia="仿宋_GB2312"/>
          <w:color w:val="000000" w:themeColor="text1"/>
          <w:sz w:val="30"/>
          <w:szCs w:val="30"/>
        </w:rPr>
        <w:t>2021年临港开发区政府性基金预算本级收入57286万元，调出至一般公共预算5606万元，</w:t>
      </w:r>
      <w:r>
        <w:rPr>
          <w:rFonts w:hint="eastAsia" w:ascii="仿宋_GB2312" w:eastAsia="仿宋_GB2312"/>
          <w:sz w:val="30"/>
          <w:szCs w:val="30"/>
        </w:rPr>
        <w:t xml:space="preserve"> 2021年政府性基金预算本级支出安排51680万元。</w:t>
      </w:r>
      <w:r>
        <w:rPr>
          <w:rFonts w:hint="eastAsia" w:ascii="仿宋_GB2312" w:eastAsia="仿宋_GB2312"/>
          <w:color w:val="000000" w:themeColor="text1"/>
          <w:sz w:val="30"/>
          <w:szCs w:val="30"/>
        </w:rPr>
        <w:t>具体如下：</w:t>
      </w:r>
    </w:p>
    <w:p>
      <w:pPr>
        <w:ind w:firstLine="600" w:firstLineChars="200"/>
        <w:rPr>
          <w:rFonts w:hint="eastAsia" w:ascii="仿宋_GB2312" w:eastAsia="仿宋_GB2312"/>
          <w:color w:val="000000" w:themeColor="text1"/>
          <w:sz w:val="30"/>
          <w:szCs w:val="30"/>
        </w:rPr>
      </w:pPr>
      <w:r>
        <w:rPr>
          <w:rFonts w:hint="eastAsia" w:ascii="仿宋_GB2312" w:eastAsia="仿宋_GB2312"/>
          <w:color w:val="000000" w:themeColor="text1"/>
          <w:sz w:val="30"/>
          <w:szCs w:val="30"/>
        </w:rPr>
        <w:t>（一）土地出让收入52286万元，其中：国有土地收益基金收入3100万元，农业土地开发资金收入1186万元，国有土地使用权出让收入48000万元。调出资金5066万元，土地出让收入安排的支出47220万元。</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（二）城市基础设施配套费收入5000万元，调出资金540万元，城市基础设施配套费收入安排的支出4460万元。</w:t>
      </w:r>
    </w:p>
    <w:p>
      <w:pPr>
        <w:ind w:firstLine="600" w:firstLineChars="200"/>
        <w:rPr>
          <w:rFonts w:ascii="仿宋_GB2312" w:eastAsia="仿宋_GB2312"/>
          <w:sz w:val="30"/>
          <w:szCs w:val="30"/>
        </w:rPr>
      </w:pPr>
      <w:r>
        <w:rPr>
          <w:rFonts w:hint="eastAsia" w:ascii="仿宋_GB2312" w:eastAsia="仿宋_GB2312"/>
          <w:color w:val="000000" w:themeColor="text1"/>
          <w:sz w:val="30"/>
          <w:szCs w:val="30"/>
        </w:rPr>
        <w:t>政府性基金支出</w:t>
      </w:r>
      <w:r>
        <w:rPr>
          <w:rFonts w:hint="eastAsia" w:ascii="仿宋_GB2312" w:eastAsia="仿宋_GB2312"/>
          <w:sz w:val="30"/>
          <w:szCs w:val="30"/>
        </w:rPr>
        <w:t>主要项目包括：</w:t>
      </w:r>
    </w:p>
    <w:p>
      <w:pPr>
        <w:ind w:firstLine="600" w:firstLineChars="200"/>
        <w:rPr>
          <w:rFonts w:ascii="仿宋_GB2312" w:eastAsia="仿宋_GB2312"/>
          <w:sz w:val="30"/>
          <w:szCs w:val="30"/>
        </w:rPr>
      </w:pPr>
      <w:r>
        <w:rPr>
          <w:rFonts w:hint="eastAsia" w:ascii="仿宋_GB2312" w:eastAsia="仿宋_GB2312"/>
          <w:sz w:val="30"/>
          <w:szCs w:val="30"/>
        </w:rPr>
        <w:t>（1）土地补偿、放水补偿费用22000万元；</w:t>
      </w:r>
    </w:p>
    <w:p>
      <w:pPr>
        <w:ind w:firstLine="600" w:firstLineChars="200"/>
        <w:rPr>
          <w:rFonts w:ascii="仿宋_GB2312" w:eastAsia="仿宋_GB2312"/>
          <w:sz w:val="30"/>
          <w:szCs w:val="30"/>
        </w:rPr>
      </w:pPr>
      <w:r>
        <w:rPr>
          <w:rFonts w:hint="eastAsia" w:ascii="仿宋_GB2312" w:eastAsia="仿宋_GB2312"/>
          <w:sz w:val="30"/>
          <w:szCs w:val="30"/>
        </w:rPr>
        <w:t>（2）购买补充耕地指标8000万元；</w:t>
      </w:r>
    </w:p>
    <w:p>
      <w:pPr>
        <w:ind w:firstLine="600" w:firstLineChars="200"/>
        <w:rPr>
          <w:rFonts w:ascii="仿宋_GB2312" w:eastAsia="仿宋_GB2312"/>
          <w:sz w:val="30"/>
          <w:szCs w:val="30"/>
        </w:rPr>
      </w:pPr>
      <w:r>
        <w:rPr>
          <w:rFonts w:hint="eastAsia" w:ascii="仿宋_GB2312" w:eastAsia="仿宋_GB2312"/>
          <w:sz w:val="30"/>
          <w:szCs w:val="30"/>
        </w:rPr>
        <w:t>（3）耕地占用税1000万元；</w:t>
      </w:r>
    </w:p>
    <w:p>
      <w:pPr>
        <w:ind w:firstLine="600" w:firstLineChars="200"/>
        <w:rPr>
          <w:rFonts w:ascii="仿宋_GB2312" w:eastAsia="仿宋_GB2312"/>
          <w:sz w:val="30"/>
          <w:szCs w:val="30"/>
        </w:rPr>
      </w:pPr>
      <w:r>
        <w:rPr>
          <w:rFonts w:hint="eastAsia" w:ascii="仿宋_GB2312" w:eastAsia="仿宋_GB2312"/>
          <w:sz w:val="30"/>
          <w:szCs w:val="30"/>
        </w:rPr>
        <w:t>（4）资产出让相关税费400万元；</w:t>
      </w:r>
    </w:p>
    <w:p>
      <w:pPr>
        <w:ind w:firstLine="600" w:firstLineChars="200"/>
        <w:rPr>
          <w:rFonts w:ascii="仿宋_GB2312" w:eastAsia="仿宋_GB2312"/>
          <w:bCs/>
          <w:sz w:val="30"/>
          <w:szCs w:val="30"/>
        </w:rPr>
      </w:pPr>
      <w:r>
        <w:rPr>
          <w:rFonts w:hint="eastAsia" w:ascii="仿宋_GB2312" w:eastAsia="仿宋_GB2312"/>
          <w:bCs/>
          <w:sz w:val="30"/>
          <w:szCs w:val="30"/>
        </w:rPr>
        <w:t>（5）专项债券利息4500万元；</w:t>
      </w:r>
    </w:p>
    <w:p>
      <w:pPr>
        <w:ind w:firstLine="600" w:firstLineChars="200"/>
        <w:rPr>
          <w:rFonts w:ascii="仿宋_GB2312" w:eastAsia="仿宋_GB2312"/>
          <w:bCs/>
          <w:sz w:val="30"/>
          <w:szCs w:val="30"/>
        </w:rPr>
      </w:pPr>
      <w:r>
        <w:rPr>
          <w:rFonts w:hint="eastAsia" w:ascii="仿宋_GB2312" w:eastAsia="仿宋_GB2312"/>
          <w:bCs/>
          <w:sz w:val="30"/>
          <w:szCs w:val="30"/>
        </w:rPr>
        <w:t>（6）化解隐</w:t>
      </w:r>
      <w:r>
        <w:rPr>
          <w:rFonts w:hint="eastAsia" w:ascii="仿宋_GB2312" w:eastAsia="仿宋_GB2312"/>
          <w:bCs/>
          <w:sz w:val="30"/>
          <w:szCs w:val="30"/>
          <w:lang w:val="en-US" w:eastAsia="zh-CN"/>
        </w:rPr>
        <w:t>性</w:t>
      </w:r>
      <w:r>
        <w:rPr>
          <w:rFonts w:hint="eastAsia" w:ascii="仿宋_GB2312" w:eastAsia="仿宋_GB2312"/>
          <w:bCs/>
          <w:sz w:val="30"/>
          <w:szCs w:val="30"/>
        </w:rPr>
        <w:t>债</w:t>
      </w:r>
      <w:r>
        <w:rPr>
          <w:rFonts w:hint="eastAsia" w:ascii="仿宋_GB2312" w:eastAsia="仿宋_GB2312"/>
          <w:bCs/>
          <w:sz w:val="30"/>
          <w:szCs w:val="30"/>
          <w:lang w:val="en-US" w:eastAsia="zh-CN"/>
        </w:rPr>
        <w:t>务</w:t>
      </w:r>
      <w:r>
        <w:rPr>
          <w:rFonts w:hint="eastAsia" w:ascii="仿宋_GB2312" w:eastAsia="仿宋_GB2312"/>
          <w:bCs/>
          <w:sz w:val="30"/>
          <w:szCs w:val="30"/>
        </w:rPr>
        <w:t>4300万元；</w:t>
      </w:r>
    </w:p>
    <w:p>
      <w:pPr>
        <w:ind w:firstLine="600" w:firstLineChars="200"/>
        <w:rPr>
          <w:rFonts w:ascii="仿宋_GB2312" w:eastAsia="仿宋_GB2312"/>
          <w:bCs/>
          <w:sz w:val="30"/>
          <w:szCs w:val="30"/>
        </w:rPr>
      </w:pPr>
      <w:r>
        <w:rPr>
          <w:rFonts w:hint="eastAsia" w:ascii="仿宋_GB2312" w:eastAsia="仿宋_GB2312"/>
          <w:bCs/>
          <w:sz w:val="30"/>
          <w:szCs w:val="30"/>
        </w:rPr>
        <w:t>（7）智能大数据平台900万元；</w:t>
      </w:r>
    </w:p>
    <w:p>
      <w:pPr>
        <w:ind w:firstLine="600" w:firstLineChars="200"/>
        <w:rPr>
          <w:rFonts w:ascii="仿宋_GB2312" w:eastAsia="仿宋_GB2312"/>
          <w:bCs/>
          <w:sz w:val="30"/>
          <w:szCs w:val="30"/>
        </w:rPr>
      </w:pPr>
      <w:r>
        <w:rPr>
          <w:rFonts w:hint="eastAsia" w:ascii="仿宋_GB2312" w:eastAsia="仿宋_GB2312"/>
          <w:sz w:val="30"/>
          <w:szCs w:val="30"/>
        </w:rPr>
        <w:t>（8）</w:t>
      </w:r>
      <w:r>
        <w:rPr>
          <w:rFonts w:hint="eastAsia" w:ascii="仿宋_GB2312" w:eastAsia="仿宋_GB2312"/>
          <w:bCs/>
          <w:sz w:val="30"/>
          <w:szCs w:val="30"/>
        </w:rPr>
        <w:t>消防站3120万元（基建1300万元、</w:t>
      </w:r>
      <w:r>
        <w:rPr>
          <w:rFonts w:hint="eastAsia" w:ascii="仿宋_GB2312" w:eastAsia="仿宋_GB2312"/>
          <w:sz w:val="30"/>
          <w:szCs w:val="30"/>
        </w:rPr>
        <w:t>专用设备购置1700万元、运营150万元</w:t>
      </w:r>
      <w:r>
        <w:rPr>
          <w:rFonts w:hint="eastAsia" w:ascii="仿宋_GB2312" w:eastAsia="仿宋_GB2312"/>
          <w:bCs/>
          <w:sz w:val="30"/>
          <w:szCs w:val="30"/>
        </w:rPr>
        <w:t>）；</w:t>
      </w:r>
    </w:p>
    <w:p>
      <w:pPr>
        <w:ind w:firstLine="600" w:firstLineChars="200"/>
        <w:rPr>
          <w:rFonts w:ascii="仿宋_GB2312" w:eastAsia="仿宋_GB2312"/>
          <w:sz w:val="30"/>
          <w:szCs w:val="30"/>
        </w:rPr>
      </w:pPr>
      <w:r>
        <w:rPr>
          <w:rFonts w:hint="eastAsia" w:ascii="仿宋_GB2312" w:eastAsia="仿宋_GB2312"/>
          <w:sz w:val="30"/>
          <w:szCs w:val="30"/>
        </w:rPr>
        <w:t>（9）消防取水码头建设30万元；</w:t>
      </w:r>
    </w:p>
    <w:p>
      <w:pPr>
        <w:ind w:firstLine="600" w:firstLineChars="200"/>
        <w:rPr>
          <w:rFonts w:ascii="仿宋_GB2312" w:eastAsia="仿宋_GB2312"/>
          <w:sz w:val="30"/>
          <w:szCs w:val="30"/>
        </w:rPr>
      </w:pPr>
      <w:r>
        <w:rPr>
          <w:rFonts w:hint="eastAsia" w:ascii="仿宋_GB2312" w:eastAsia="仿宋_GB2312"/>
          <w:sz w:val="30"/>
          <w:szCs w:val="30"/>
        </w:rPr>
        <w:t>（10）清华大学绿色化工联合研发创新中心270万元；</w:t>
      </w:r>
    </w:p>
    <w:p>
      <w:pPr>
        <w:ind w:firstLine="600" w:firstLineChars="200"/>
        <w:rPr>
          <w:rFonts w:ascii="仿宋_GB2312" w:eastAsia="仿宋_GB2312"/>
          <w:sz w:val="30"/>
          <w:szCs w:val="30"/>
        </w:rPr>
      </w:pPr>
      <w:r>
        <w:rPr>
          <w:rFonts w:hint="eastAsia" w:ascii="仿宋_GB2312" w:eastAsia="仿宋_GB2312"/>
          <w:sz w:val="30"/>
          <w:szCs w:val="30"/>
        </w:rPr>
        <w:t>（11）南开研究院日常运营1000万元；</w:t>
      </w:r>
    </w:p>
    <w:p>
      <w:pPr>
        <w:ind w:firstLine="600" w:firstLineChars="200"/>
        <w:rPr>
          <w:rFonts w:ascii="仿宋_GB2312" w:eastAsia="仿宋_GB2312"/>
          <w:sz w:val="30"/>
          <w:szCs w:val="30"/>
        </w:rPr>
      </w:pPr>
      <w:r>
        <w:rPr>
          <w:rFonts w:hint="eastAsia" w:ascii="仿宋_GB2312" w:eastAsia="仿宋_GB2312"/>
          <w:sz w:val="30"/>
          <w:szCs w:val="30"/>
        </w:rPr>
        <w:t>（12）南开大学绿色研究院项目2000万元；</w:t>
      </w:r>
    </w:p>
    <w:p>
      <w:pPr>
        <w:ind w:firstLine="600" w:firstLineChars="200"/>
        <w:rPr>
          <w:rFonts w:ascii="仿宋_GB2312" w:eastAsia="仿宋_GB2312"/>
          <w:sz w:val="30"/>
          <w:szCs w:val="30"/>
        </w:rPr>
      </w:pPr>
      <w:r>
        <w:rPr>
          <w:rFonts w:hint="eastAsia" w:ascii="仿宋_GB2312" w:eastAsia="仿宋_GB2312"/>
          <w:sz w:val="30"/>
          <w:szCs w:val="30"/>
        </w:rPr>
        <w:t>（13）危化品车辆管理平台系统建设700万元；</w:t>
      </w:r>
    </w:p>
    <w:p>
      <w:pPr>
        <w:ind w:firstLine="600" w:firstLineChars="200"/>
        <w:rPr>
          <w:rFonts w:ascii="仿宋_GB2312" w:eastAsia="仿宋_GB2312"/>
          <w:sz w:val="30"/>
          <w:szCs w:val="30"/>
        </w:rPr>
      </w:pPr>
      <w:r>
        <w:rPr>
          <w:rFonts w:hint="eastAsia" w:ascii="仿宋_GB2312" w:eastAsia="仿宋_GB2312"/>
          <w:sz w:val="30"/>
          <w:szCs w:val="30"/>
        </w:rPr>
        <w:t>（14）环卫清扫费500万元；</w:t>
      </w:r>
    </w:p>
    <w:p>
      <w:pPr>
        <w:ind w:firstLine="600" w:firstLineChars="200"/>
        <w:rPr>
          <w:rFonts w:ascii="仿宋_GB2312" w:eastAsia="仿宋_GB2312"/>
          <w:sz w:val="30"/>
          <w:szCs w:val="30"/>
        </w:rPr>
      </w:pPr>
      <w:r>
        <w:rPr>
          <w:rFonts w:hint="eastAsia" w:ascii="仿宋_GB2312" w:eastAsia="仿宋_GB2312"/>
          <w:sz w:val="30"/>
          <w:szCs w:val="30"/>
        </w:rPr>
        <w:t>（15）垃圾分类转运站430万元；</w:t>
      </w:r>
    </w:p>
    <w:p>
      <w:pPr>
        <w:ind w:firstLine="600" w:firstLineChars="200"/>
        <w:rPr>
          <w:rFonts w:ascii="仿宋_GB2312" w:eastAsia="仿宋_GB2312"/>
          <w:sz w:val="30"/>
          <w:szCs w:val="30"/>
        </w:rPr>
      </w:pPr>
      <w:r>
        <w:rPr>
          <w:rFonts w:hint="eastAsia" w:ascii="仿宋_GB2312" w:eastAsia="仿宋_GB2312"/>
          <w:sz w:val="30"/>
          <w:szCs w:val="30"/>
        </w:rPr>
        <w:t>（16）开发区东西区隐患治理500万元；</w:t>
      </w:r>
    </w:p>
    <w:p>
      <w:pPr>
        <w:ind w:firstLine="600" w:firstLineChars="200"/>
        <w:rPr>
          <w:rFonts w:ascii="仿宋_GB2312" w:eastAsia="仿宋_GB2312"/>
          <w:sz w:val="30"/>
          <w:szCs w:val="30"/>
        </w:rPr>
      </w:pPr>
      <w:r>
        <w:rPr>
          <w:rFonts w:hint="eastAsia" w:ascii="仿宋_GB2312" w:eastAsia="仿宋_GB2312"/>
          <w:sz w:val="30"/>
          <w:szCs w:val="30"/>
        </w:rPr>
        <w:t>（17）有毒有害气体预警体系建设800万元；</w:t>
      </w:r>
    </w:p>
    <w:p>
      <w:pPr>
        <w:ind w:firstLine="600" w:firstLineChars="200"/>
        <w:rPr>
          <w:rFonts w:ascii="仿宋_GB2312" w:eastAsia="仿宋_GB2312"/>
          <w:sz w:val="30"/>
          <w:szCs w:val="30"/>
        </w:rPr>
      </w:pPr>
      <w:bookmarkStart w:id="23" w:name="_Toc500947602"/>
      <w:r>
        <w:rPr>
          <w:rFonts w:hint="eastAsia" w:ascii="仿宋_GB2312" w:eastAsia="仿宋_GB2312"/>
          <w:sz w:val="30"/>
          <w:szCs w:val="30"/>
        </w:rPr>
        <w:t>（18）环保综合信息监控平台280万元；</w:t>
      </w:r>
    </w:p>
    <w:p>
      <w:pPr>
        <w:ind w:firstLine="600" w:firstLineChars="200"/>
        <w:rPr>
          <w:rFonts w:ascii="仿宋_GB2312" w:eastAsia="仿宋_GB2312"/>
          <w:sz w:val="30"/>
          <w:szCs w:val="30"/>
        </w:rPr>
      </w:pPr>
      <w:r>
        <w:rPr>
          <w:rFonts w:hint="eastAsia" w:ascii="仿宋_GB2312" w:eastAsia="仿宋_GB2312"/>
          <w:sz w:val="30"/>
          <w:szCs w:val="30"/>
        </w:rPr>
        <w:t>（19）环保管家350万元；</w:t>
      </w:r>
    </w:p>
    <w:p>
      <w:pPr>
        <w:ind w:firstLine="600" w:firstLineChars="200"/>
        <w:rPr>
          <w:rFonts w:ascii="仿宋_GB2312" w:eastAsia="仿宋_GB2312"/>
          <w:sz w:val="30"/>
          <w:szCs w:val="30"/>
        </w:rPr>
      </w:pPr>
      <w:r>
        <w:rPr>
          <w:rFonts w:hint="eastAsia" w:ascii="仿宋_GB2312" w:eastAsia="仿宋_GB2312"/>
          <w:sz w:val="30"/>
          <w:szCs w:val="30"/>
        </w:rPr>
        <w:t>（20）新起点家园保障房项目600万元；</w:t>
      </w:r>
    </w:p>
    <w:p>
      <w:pPr>
        <w:rPr>
          <w:rFonts w:ascii="仿宋_GB2312" w:eastAsia="仿宋_GB2312"/>
          <w:sz w:val="30"/>
          <w:szCs w:val="30"/>
        </w:rPr>
      </w:pPr>
    </w:p>
    <w:p>
      <w:pPr>
        <w:rPr>
          <w:rFonts w:ascii="仿宋_GB2312" w:eastAsia="仿宋_GB2312"/>
          <w:sz w:val="30"/>
          <w:szCs w:val="30"/>
        </w:rPr>
      </w:pPr>
    </w:p>
    <w:bookmarkEnd w:id="23"/>
    <w:p>
      <w:pPr>
        <w:spacing w:line="360" w:lineRule="auto"/>
        <w:rPr>
          <w:rFonts w:ascii="仿宋_GB2312" w:eastAsia="仿宋_GB2312"/>
          <w:b/>
          <w:color w:val="000000" w:themeColor="text1"/>
          <w:sz w:val="32"/>
          <w:szCs w:val="32"/>
        </w:rPr>
      </w:pPr>
    </w:p>
    <w:p>
      <w:pPr>
        <w:spacing w:line="360" w:lineRule="auto"/>
        <w:rPr>
          <w:rFonts w:ascii="仿宋_GB2312" w:eastAsia="仿宋_GB2312"/>
          <w:b/>
          <w:color w:val="000000" w:themeColor="text1"/>
          <w:sz w:val="32"/>
          <w:szCs w:val="32"/>
        </w:rPr>
      </w:pPr>
    </w:p>
    <w:tbl>
      <w:tblPr>
        <w:tblStyle w:val="15"/>
        <w:tblW w:w="8946" w:type="dxa"/>
        <w:tblInd w:w="93" w:type="dxa"/>
        <w:tblLayout w:type="autofit"/>
        <w:tblCellMar>
          <w:top w:w="0" w:type="dxa"/>
          <w:left w:w="108" w:type="dxa"/>
          <w:bottom w:w="0" w:type="dxa"/>
          <w:right w:w="108" w:type="dxa"/>
        </w:tblCellMar>
      </w:tblPr>
      <w:tblGrid>
        <w:gridCol w:w="1960"/>
        <w:gridCol w:w="4151"/>
        <w:gridCol w:w="2835"/>
      </w:tblGrid>
      <w:tr>
        <w:tblPrEx>
          <w:tblCellMar>
            <w:top w:w="0" w:type="dxa"/>
            <w:left w:w="108" w:type="dxa"/>
            <w:bottom w:w="0" w:type="dxa"/>
            <w:right w:w="108" w:type="dxa"/>
          </w:tblCellMar>
        </w:tblPrEx>
        <w:trPr>
          <w:trHeight w:val="1275" w:hRule="atLeast"/>
        </w:trPr>
        <w:tc>
          <w:tcPr>
            <w:tcW w:w="8946" w:type="dxa"/>
            <w:gridSpan w:val="3"/>
            <w:tcBorders>
              <w:top w:val="nil"/>
              <w:left w:val="nil"/>
              <w:bottom w:val="nil"/>
              <w:right w:val="nil"/>
            </w:tcBorders>
            <w:shd w:val="clear" w:color="auto" w:fill="auto"/>
            <w:noWrap/>
            <w:vAlign w:val="center"/>
          </w:tcPr>
          <w:p>
            <w:pPr>
              <w:pStyle w:val="4"/>
              <w:jc w:val="center"/>
              <w:rPr>
                <w:rFonts w:ascii="仿宋_GB2312" w:eastAsia="仿宋_GB2312"/>
                <w:color w:val="000000" w:themeColor="text1"/>
              </w:rPr>
            </w:pPr>
            <w:bookmarkStart w:id="24" w:name="_Toc60126001"/>
            <w:r>
              <w:rPr>
                <w:rFonts w:hint="eastAsia" w:ascii="仿宋_GB2312" w:eastAsia="仿宋_GB2312"/>
                <w:color w:val="000000" w:themeColor="text1"/>
              </w:rPr>
              <w:t>§2  2021年区本级政府性基金预算收入表</w:t>
            </w:r>
            <w:bookmarkEnd w:id="24"/>
          </w:p>
        </w:tc>
      </w:tr>
      <w:tr>
        <w:tblPrEx>
          <w:tblCellMar>
            <w:top w:w="0" w:type="dxa"/>
            <w:left w:w="108" w:type="dxa"/>
            <w:bottom w:w="0" w:type="dxa"/>
            <w:right w:w="108" w:type="dxa"/>
          </w:tblCellMar>
        </w:tblPrEx>
        <w:trPr>
          <w:trHeight w:val="405" w:hRule="atLeast"/>
        </w:trPr>
        <w:tc>
          <w:tcPr>
            <w:tcW w:w="1960" w:type="dxa"/>
            <w:tcBorders>
              <w:top w:val="nil"/>
              <w:left w:val="nil"/>
              <w:bottom w:val="nil"/>
              <w:right w:val="nil"/>
            </w:tcBorders>
            <w:shd w:val="clear" w:color="auto" w:fill="auto"/>
            <w:noWrap/>
            <w:vAlign w:val="center"/>
          </w:tcPr>
          <w:p>
            <w:pPr>
              <w:widowControl/>
              <w:jc w:val="right"/>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 xml:space="preserve"> </w:t>
            </w:r>
          </w:p>
        </w:tc>
        <w:tc>
          <w:tcPr>
            <w:tcW w:w="4151"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c>
          <w:tcPr>
            <w:tcW w:w="2835" w:type="dxa"/>
            <w:tcBorders>
              <w:top w:val="nil"/>
              <w:left w:val="nil"/>
              <w:bottom w:val="nil"/>
              <w:right w:val="nil"/>
            </w:tcBorders>
            <w:shd w:val="clear" w:color="auto" w:fill="auto"/>
            <w:noWrap/>
            <w:vAlign w:val="center"/>
          </w:tcPr>
          <w:p>
            <w:pPr>
              <w:widowControl/>
              <w:jc w:val="right"/>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单位：万元</w:t>
            </w:r>
          </w:p>
        </w:tc>
      </w:tr>
      <w:tr>
        <w:tblPrEx>
          <w:tblCellMar>
            <w:top w:w="0" w:type="dxa"/>
            <w:left w:w="108" w:type="dxa"/>
            <w:bottom w:w="0" w:type="dxa"/>
            <w:right w:w="108" w:type="dxa"/>
          </w:tblCellMar>
        </w:tblPrEx>
        <w:trPr>
          <w:trHeight w:val="585" w:hRule="atLeast"/>
        </w:trPr>
        <w:tc>
          <w:tcPr>
            <w:tcW w:w="196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科目编码</w:t>
            </w:r>
          </w:p>
        </w:tc>
        <w:tc>
          <w:tcPr>
            <w:tcW w:w="4151"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科目名称</w:t>
            </w:r>
          </w:p>
        </w:tc>
        <w:tc>
          <w:tcPr>
            <w:tcW w:w="2835"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2020年预算</w:t>
            </w:r>
          </w:p>
        </w:tc>
      </w:tr>
      <w:tr>
        <w:tblPrEx>
          <w:tblCellMar>
            <w:top w:w="0" w:type="dxa"/>
            <w:left w:w="108" w:type="dxa"/>
            <w:bottom w:w="0" w:type="dxa"/>
            <w:right w:w="108" w:type="dxa"/>
          </w:tblCellMar>
        </w:tblPrEx>
        <w:trPr>
          <w:trHeight w:val="870" w:hRule="atLeast"/>
        </w:trPr>
        <w:tc>
          <w:tcPr>
            <w:tcW w:w="1960" w:type="dxa"/>
            <w:tcBorders>
              <w:top w:val="nil"/>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color w:val="000000"/>
                <w:kern w:val="0"/>
                <w:sz w:val="24"/>
              </w:rPr>
            </w:pPr>
            <w:r>
              <w:rPr>
                <w:rFonts w:hint="eastAsia" w:ascii="仿宋_GB2312" w:hAnsi="宋体" w:eastAsia="仿宋_GB2312" w:cs="宋体"/>
                <w:color w:val="000000"/>
                <w:kern w:val="0"/>
                <w:sz w:val="24"/>
              </w:rPr>
              <w:t>1030146</w:t>
            </w:r>
          </w:p>
        </w:tc>
        <w:tc>
          <w:tcPr>
            <w:tcW w:w="4151"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国有土地收益基金收入</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3,100</w:t>
            </w:r>
          </w:p>
        </w:tc>
      </w:tr>
      <w:tr>
        <w:tblPrEx>
          <w:tblCellMar>
            <w:top w:w="0" w:type="dxa"/>
            <w:left w:w="108" w:type="dxa"/>
            <w:bottom w:w="0" w:type="dxa"/>
            <w:right w:w="108" w:type="dxa"/>
          </w:tblCellMar>
        </w:tblPrEx>
        <w:trPr>
          <w:trHeight w:val="870" w:hRule="atLeast"/>
        </w:trPr>
        <w:tc>
          <w:tcPr>
            <w:tcW w:w="1960" w:type="dxa"/>
            <w:tcBorders>
              <w:top w:val="nil"/>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color w:val="000000"/>
                <w:kern w:val="0"/>
                <w:sz w:val="24"/>
              </w:rPr>
            </w:pPr>
            <w:r>
              <w:rPr>
                <w:rFonts w:hint="eastAsia" w:ascii="仿宋_GB2312" w:hAnsi="宋体" w:eastAsia="仿宋_GB2312" w:cs="宋体"/>
                <w:color w:val="000000"/>
                <w:kern w:val="0"/>
                <w:sz w:val="24"/>
              </w:rPr>
              <w:t>1030147</w:t>
            </w:r>
          </w:p>
        </w:tc>
        <w:tc>
          <w:tcPr>
            <w:tcW w:w="4151"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农业土地开发资金收入</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w:t>
            </w:r>
            <w:r>
              <w:rPr>
                <w:rFonts w:hint="eastAsia" w:ascii="仿宋_GB2312" w:hAnsi="宋体" w:eastAsia="仿宋_GB2312" w:cs="宋体"/>
                <w:color w:val="000000"/>
                <w:kern w:val="0"/>
                <w:sz w:val="24"/>
              </w:rPr>
              <w:t>,</w:t>
            </w:r>
            <w:r>
              <w:rPr>
                <w:rFonts w:hint="eastAsia" w:ascii="仿宋" w:hAnsi="仿宋" w:eastAsia="仿宋" w:cs="宋体"/>
                <w:color w:val="000000"/>
                <w:kern w:val="0"/>
                <w:sz w:val="24"/>
              </w:rPr>
              <w:t>186</w:t>
            </w:r>
          </w:p>
        </w:tc>
      </w:tr>
      <w:tr>
        <w:tblPrEx>
          <w:tblCellMar>
            <w:top w:w="0" w:type="dxa"/>
            <w:left w:w="108" w:type="dxa"/>
            <w:bottom w:w="0" w:type="dxa"/>
            <w:right w:w="108" w:type="dxa"/>
          </w:tblCellMar>
        </w:tblPrEx>
        <w:trPr>
          <w:trHeight w:val="870" w:hRule="atLeast"/>
        </w:trPr>
        <w:tc>
          <w:tcPr>
            <w:tcW w:w="1960" w:type="dxa"/>
            <w:tcBorders>
              <w:top w:val="nil"/>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color w:val="000000"/>
                <w:kern w:val="0"/>
                <w:sz w:val="24"/>
              </w:rPr>
            </w:pPr>
            <w:r>
              <w:rPr>
                <w:rFonts w:hint="eastAsia" w:ascii="仿宋_GB2312" w:hAnsi="宋体" w:eastAsia="仿宋_GB2312" w:cs="宋体"/>
                <w:color w:val="000000"/>
                <w:kern w:val="0"/>
                <w:sz w:val="24"/>
              </w:rPr>
              <w:t>1030148</w:t>
            </w:r>
          </w:p>
        </w:tc>
        <w:tc>
          <w:tcPr>
            <w:tcW w:w="4151"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国有土地使用权出让收入</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48,000</w:t>
            </w:r>
          </w:p>
        </w:tc>
      </w:tr>
      <w:tr>
        <w:tblPrEx>
          <w:tblCellMar>
            <w:top w:w="0" w:type="dxa"/>
            <w:left w:w="108" w:type="dxa"/>
            <w:bottom w:w="0" w:type="dxa"/>
            <w:right w:w="108" w:type="dxa"/>
          </w:tblCellMar>
        </w:tblPrEx>
        <w:trPr>
          <w:trHeight w:val="870" w:hRule="atLeast"/>
        </w:trPr>
        <w:tc>
          <w:tcPr>
            <w:tcW w:w="1960" w:type="dxa"/>
            <w:tcBorders>
              <w:top w:val="nil"/>
              <w:left w:val="single" w:color="auto" w:sz="8" w:space="0"/>
              <w:bottom w:val="single" w:color="auto" w:sz="8" w:space="0"/>
              <w:right w:val="single" w:color="auto" w:sz="8" w:space="0"/>
            </w:tcBorders>
            <w:shd w:val="clear" w:color="auto" w:fill="auto"/>
            <w:vAlign w:val="center"/>
          </w:tcPr>
          <w:p>
            <w:pPr>
              <w:widowControl/>
              <w:rPr>
                <w:rFonts w:ascii="仿宋_GB2312" w:hAnsi="宋体" w:eastAsia="仿宋_GB2312" w:cs="宋体"/>
                <w:color w:val="000000"/>
                <w:kern w:val="0"/>
                <w:sz w:val="24"/>
              </w:rPr>
            </w:pPr>
            <w:r>
              <w:rPr>
                <w:rFonts w:hint="eastAsia" w:ascii="仿宋_GB2312" w:hAnsi="宋体" w:eastAsia="仿宋_GB2312" w:cs="宋体"/>
                <w:color w:val="000000"/>
                <w:kern w:val="0"/>
                <w:sz w:val="24"/>
              </w:rPr>
              <w:t>1030156</w:t>
            </w:r>
          </w:p>
        </w:tc>
        <w:tc>
          <w:tcPr>
            <w:tcW w:w="4151"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城市基础设施配套费收入</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5,000</w:t>
            </w:r>
          </w:p>
        </w:tc>
      </w:tr>
      <w:tr>
        <w:tblPrEx>
          <w:tblCellMar>
            <w:top w:w="0" w:type="dxa"/>
            <w:left w:w="108" w:type="dxa"/>
            <w:bottom w:w="0" w:type="dxa"/>
            <w:right w:w="108" w:type="dxa"/>
          </w:tblCellMar>
        </w:tblPrEx>
        <w:trPr>
          <w:trHeight w:val="570" w:hRule="atLeast"/>
        </w:trPr>
        <w:tc>
          <w:tcPr>
            <w:tcW w:w="6111" w:type="dxa"/>
            <w:gridSpan w:val="2"/>
            <w:tcBorders>
              <w:top w:val="single" w:color="auto" w:sz="8" w:space="0"/>
              <w:left w:val="single" w:color="auto" w:sz="8" w:space="0"/>
              <w:bottom w:val="single" w:color="auto" w:sz="8" w:space="0"/>
              <w:right w:val="single" w:color="000000" w:sz="8"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政府性基金预算收入合计</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57,286</w:t>
            </w:r>
          </w:p>
        </w:tc>
      </w:tr>
    </w:tbl>
    <w:p>
      <w:pPr>
        <w:spacing w:line="360" w:lineRule="auto"/>
        <w:rPr>
          <w:rFonts w:ascii="仿宋_GB2312" w:eastAsia="仿宋_GB2312"/>
          <w:b/>
          <w:color w:val="000000" w:themeColor="text1"/>
          <w:sz w:val="32"/>
          <w:szCs w:val="32"/>
        </w:rPr>
      </w:pPr>
    </w:p>
    <w:tbl>
      <w:tblPr>
        <w:tblStyle w:val="15"/>
        <w:tblW w:w="8946" w:type="dxa"/>
        <w:tblInd w:w="93" w:type="dxa"/>
        <w:tblLayout w:type="autofit"/>
        <w:tblCellMar>
          <w:top w:w="0" w:type="dxa"/>
          <w:left w:w="108" w:type="dxa"/>
          <w:bottom w:w="0" w:type="dxa"/>
          <w:right w:w="108" w:type="dxa"/>
        </w:tblCellMar>
      </w:tblPr>
      <w:tblGrid>
        <w:gridCol w:w="1460"/>
        <w:gridCol w:w="4651"/>
        <w:gridCol w:w="2835"/>
      </w:tblGrid>
      <w:tr>
        <w:tblPrEx>
          <w:tblCellMar>
            <w:top w:w="0" w:type="dxa"/>
            <w:left w:w="108" w:type="dxa"/>
            <w:bottom w:w="0" w:type="dxa"/>
            <w:right w:w="108" w:type="dxa"/>
          </w:tblCellMar>
        </w:tblPrEx>
        <w:trPr>
          <w:trHeight w:val="885" w:hRule="atLeast"/>
        </w:trPr>
        <w:tc>
          <w:tcPr>
            <w:tcW w:w="8946" w:type="dxa"/>
            <w:gridSpan w:val="3"/>
            <w:tcBorders>
              <w:top w:val="nil"/>
              <w:left w:val="nil"/>
              <w:bottom w:val="nil"/>
              <w:right w:val="nil"/>
            </w:tcBorders>
            <w:shd w:val="clear" w:color="auto" w:fill="auto"/>
            <w:noWrap/>
            <w:vAlign w:val="center"/>
          </w:tcPr>
          <w:p>
            <w:pPr>
              <w:pStyle w:val="4"/>
              <w:jc w:val="center"/>
              <w:rPr>
                <w:rFonts w:ascii="仿宋_GB2312" w:eastAsia="仿宋_GB2312"/>
                <w:color w:val="000000" w:themeColor="text1"/>
              </w:rPr>
            </w:pPr>
            <w:bookmarkStart w:id="25" w:name="_Toc60126002"/>
            <w:r>
              <w:rPr>
                <w:rFonts w:hint="eastAsia" w:ascii="仿宋_GB2312" w:eastAsia="仿宋_GB2312"/>
                <w:color w:val="000000" w:themeColor="text1"/>
              </w:rPr>
              <w:t>§3  2021年区本级政府性基金预算支出表</w:t>
            </w:r>
            <w:bookmarkEnd w:id="25"/>
          </w:p>
        </w:tc>
      </w:tr>
      <w:tr>
        <w:tblPrEx>
          <w:tblCellMar>
            <w:top w:w="0" w:type="dxa"/>
            <w:left w:w="108" w:type="dxa"/>
            <w:bottom w:w="0" w:type="dxa"/>
            <w:right w:w="108" w:type="dxa"/>
          </w:tblCellMar>
        </w:tblPrEx>
        <w:trPr>
          <w:trHeight w:val="390" w:hRule="atLeast"/>
        </w:trPr>
        <w:tc>
          <w:tcPr>
            <w:tcW w:w="1460" w:type="dxa"/>
            <w:tcBorders>
              <w:top w:val="nil"/>
              <w:left w:val="nil"/>
              <w:bottom w:val="nil"/>
              <w:right w:val="nil"/>
            </w:tcBorders>
            <w:shd w:val="clear" w:color="auto" w:fill="auto"/>
            <w:noWrap/>
            <w:vAlign w:val="center"/>
          </w:tcPr>
          <w:p>
            <w:pPr>
              <w:widowControl/>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 </w:t>
            </w:r>
          </w:p>
        </w:tc>
        <w:tc>
          <w:tcPr>
            <w:tcW w:w="4651"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c>
          <w:tcPr>
            <w:tcW w:w="2835" w:type="dxa"/>
            <w:tcBorders>
              <w:top w:val="nil"/>
              <w:left w:val="nil"/>
              <w:bottom w:val="nil"/>
              <w:right w:val="nil"/>
            </w:tcBorders>
            <w:shd w:val="clear" w:color="auto" w:fill="auto"/>
            <w:noWrap/>
            <w:vAlign w:val="center"/>
          </w:tcPr>
          <w:p>
            <w:pPr>
              <w:widowControl/>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单位：万元</w:t>
            </w:r>
          </w:p>
        </w:tc>
      </w:tr>
      <w:tr>
        <w:tblPrEx>
          <w:tblCellMar>
            <w:top w:w="0" w:type="dxa"/>
            <w:left w:w="108" w:type="dxa"/>
            <w:bottom w:w="0" w:type="dxa"/>
            <w:right w:w="108" w:type="dxa"/>
          </w:tblCellMar>
        </w:tblPrEx>
        <w:trPr>
          <w:trHeight w:val="510" w:hRule="atLeast"/>
        </w:trPr>
        <w:tc>
          <w:tcPr>
            <w:tcW w:w="146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科目编码</w:t>
            </w:r>
          </w:p>
        </w:tc>
        <w:tc>
          <w:tcPr>
            <w:tcW w:w="4651"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项目名称</w:t>
            </w:r>
          </w:p>
        </w:tc>
        <w:tc>
          <w:tcPr>
            <w:tcW w:w="2835"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2021年预算</w:t>
            </w:r>
          </w:p>
        </w:tc>
      </w:tr>
      <w:tr>
        <w:tblPrEx>
          <w:tblCellMar>
            <w:top w:w="0" w:type="dxa"/>
            <w:left w:w="108" w:type="dxa"/>
            <w:bottom w:w="0" w:type="dxa"/>
            <w:right w:w="108" w:type="dxa"/>
          </w:tblCellMar>
        </w:tblPrEx>
        <w:trPr>
          <w:trHeight w:val="600" w:hRule="atLeast"/>
        </w:trPr>
        <w:tc>
          <w:tcPr>
            <w:tcW w:w="1460" w:type="dxa"/>
            <w:tcBorders>
              <w:top w:val="nil"/>
              <w:left w:val="single" w:color="auto" w:sz="8" w:space="0"/>
              <w:bottom w:val="single" w:color="auto" w:sz="8" w:space="0"/>
              <w:right w:val="single" w:color="auto" w:sz="8"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212</w:t>
            </w:r>
          </w:p>
        </w:tc>
        <w:tc>
          <w:tcPr>
            <w:tcW w:w="4651" w:type="dxa"/>
            <w:tcBorders>
              <w:top w:val="nil"/>
              <w:left w:val="nil"/>
              <w:bottom w:val="single" w:color="auto" w:sz="8"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城乡社区</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47,180</w:t>
            </w:r>
          </w:p>
        </w:tc>
      </w:tr>
      <w:tr>
        <w:tblPrEx>
          <w:tblCellMar>
            <w:top w:w="0" w:type="dxa"/>
            <w:left w:w="108" w:type="dxa"/>
            <w:bottom w:w="0" w:type="dxa"/>
            <w:right w:w="108" w:type="dxa"/>
          </w:tblCellMar>
        </w:tblPrEx>
        <w:trPr>
          <w:trHeight w:val="600" w:hRule="atLeast"/>
        </w:trPr>
        <w:tc>
          <w:tcPr>
            <w:tcW w:w="1460" w:type="dxa"/>
            <w:tcBorders>
              <w:top w:val="nil"/>
              <w:left w:val="single" w:color="auto" w:sz="8" w:space="0"/>
              <w:bottom w:val="single" w:color="auto" w:sz="8" w:space="0"/>
              <w:right w:val="single" w:color="auto" w:sz="8"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21208</w:t>
            </w:r>
          </w:p>
        </w:tc>
        <w:tc>
          <w:tcPr>
            <w:tcW w:w="4651" w:type="dxa"/>
            <w:tcBorders>
              <w:top w:val="nil"/>
              <w:left w:val="nil"/>
              <w:bottom w:val="single" w:color="auto" w:sz="8" w:space="0"/>
              <w:right w:val="single" w:color="auto" w:sz="8"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国有土地使用权出让收入安排的支出</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42,720</w:t>
            </w:r>
          </w:p>
        </w:tc>
      </w:tr>
      <w:tr>
        <w:tblPrEx>
          <w:tblCellMar>
            <w:top w:w="0" w:type="dxa"/>
            <w:left w:w="108" w:type="dxa"/>
            <w:bottom w:w="0" w:type="dxa"/>
            <w:right w:w="108" w:type="dxa"/>
          </w:tblCellMar>
        </w:tblPrEx>
        <w:trPr>
          <w:trHeight w:val="600" w:hRule="atLeast"/>
        </w:trPr>
        <w:tc>
          <w:tcPr>
            <w:tcW w:w="1460" w:type="dxa"/>
            <w:tcBorders>
              <w:top w:val="nil"/>
              <w:left w:val="single" w:color="auto" w:sz="8" w:space="0"/>
              <w:bottom w:val="single" w:color="auto" w:sz="8" w:space="0"/>
              <w:right w:val="single" w:color="auto" w:sz="8"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21213</w:t>
            </w:r>
          </w:p>
        </w:tc>
        <w:tc>
          <w:tcPr>
            <w:tcW w:w="4651" w:type="dxa"/>
            <w:tcBorders>
              <w:top w:val="nil"/>
              <w:left w:val="nil"/>
              <w:bottom w:val="single" w:color="auto" w:sz="8" w:space="0"/>
              <w:right w:val="single" w:color="auto" w:sz="8"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城市基础设施配套费及对应专项债务收入安排的支出</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4,460</w:t>
            </w:r>
          </w:p>
        </w:tc>
      </w:tr>
      <w:tr>
        <w:tblPrEx>
          <w:tblCellMar>
            <w:top w:w="0" w:type="dxa"/>
            <w:left w:w="108" w:type="dxa"/>
            <w:bottom w:w="0" w:type="dxa"/>
            <w:right w:w="108" w:type="dxa"/>
          </w:tblCellMar>
        </w:tblPrEx>
        <w:trPr>
          <w:trHeight w:val="600" w:hRule="atLeast"/>
        </w:trPr>
        <w:tc>
          <w:tcPr>
            <w:tcW w:w="1460" w:type="dxa"/>
            <w:tcBorders>
              <w:top w:val="nil"/>
              <w:left w:val="single" w:color="auto" w:sz="8" w:space="0"/>
              <w:bottom w:val="single" w:color="auto" w:sz="8" w:space="0"/>
              <w:right w:val="single" w:color="auto" w:sz="8" w:space="0"/>
            </w:tcBorders>
            <w:shd w:val="clear" w:color="auto" w:fill="auto"/>
            <w:vAlign w:val="center"/>
          </w:tcPr>
          <w:p>
            <w:pPr>
              <w:widowControl/>
              <w:rPr>
                <w:rFonts w:hint="default" w:ascii="仿宋" w:hAnsi="仿宋" w:eastAsia="仿宋" w:cs="宋体"/>
                <w:color w:val="000000"/>
                <w:kern w:val="0"/>
                <w:sz w:val="24"/>
                <w:lang w:val="en-US" w:eastAsia="zh-CN"/>
              </w:rPr>
            </w:pPr>
            <w:r>
              <w:rPr>
                <w:rFonts w:hint="eastAsia" w:ascii="仿宋" w:hAnsi="仿宋" w:eastAsia="仿宋" w:cs="宋体"/>
                <w:color w:val="000000"/>
                <w:kern w:val="0"/>
                <w:sz w:val="24"/>
                <w:lang w:val="en-US" w:eastAsia="zh-CN"/>
              </w:rPr>
              <w:t>230</w:t>
            </w:r>
          </w:p>
        </w:tc>
        <w:tc>
          <w:tcPr>
            <w:tcW w:w="4651" w:type="dxa"/>
            <w:tcBorders>
              <w:top w:val="nil"/>
              <w:left w:val="nil"/>
              <w:bottom w:val="single" w:color="auto" w:sz="8" w:space="0"/>
              <w:right w:val="single" w:color="auto" w:sz="8" w:space="0"/>
            </w:tcBorders>
            <w:shd w:val="clear" w:color="auto" w:fill="auto"/>
            <w:vAlign w:val="center"/>
          </w:tcPr>
          <w:p>
            <w:pPr>
              <w:widowControl/>
              <w:jc w:val="left"/>
              <w:rPr>
                <w:rFonts w:hint="eastAsia" w:ascii="仿宋" w:hAnsi="仿宋" w:eastAsia="仿宋" w:cs="宋体"/>
                <w:color w:val="000000"/>
                <w:kern w:val="0"/>
                <w:sz w:val="24"/>
                <w:lang w:val="en-US" w:eastAsia="zh-CN"/>
              </w:rPr>
            </w:pPr>
            <w:r>
              <w:rPr>
                <w:rFonts w:hint="eastAsia" w:ascii="仿宋" w:hAnsi="仿宋" w:eastAsia="仿宋" w:cs="宋体"/>
                <w:color w:val="000000"/>
                <w:kern w:val="0"/>
                <w:sz w:val="24"/>
                <w:lang w:val="en-US" w:eastAsia="zh-CN"/>
              </w:rPr>
              <w:t>转移性支出</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hint="default" w:ascii="仿宋" w:hAnsi="仿宋" w:eastAsia="仿宋" w:cs="宋体"/>
                <w:color w:val="000000"/>
                <w:kern w:val="0"/>
                <w:sz w:val="24"/>
                <w:lang w:val="en-US" w:eastAsia="zh-CN"/>
              </w:rPr>
            </w:pPr>
            <w:r>
              <w:rPr>
                <w:rFonts w:hint="eastAsia" w:ascii="仿宋" w:hAnsi="仿宋" w:eastAsia="仿宋" w:cs="宋体"/>
                <w:color w:val="000000"/>
                <w:kern w:val="0"/>
                <w:sz w:val="24"/>
                <w:lang w:val="en-US" w:eastAsia="zh-CN"/>
              </w:rPr>
              <w:t>5606</w:t>
            </w:r>
          </w:p>
        </w:tc>
      </w:tr>
      <w:tr>
        <w:tblPrEx>
          <w:tblCellMar>
            <w:top w:w="0" w:type="dxa"/>
            <w:left w:w="108" w:type="dxa"/>
            <w:bottom w:w="0" w:type="dxa"/>
            <w:right w:w="108" w:type="dxa"/>
          </w:tblCellMar>
        </w:tblPrEx>
        <w:trPr>
          <w:trHeight w:val="600" w:hRule="atLeast"/>
        </w:trPr>
        <w:tc>
          <w:tcPr>
            <w:tcW w:w="1460" w:type="dxa"/>
            <w:tcBorders>
              <w:top w:val="nil"/>
              <w:left w:val="single" w:color="auto" w:sz="8" w:space="0"/>
              <w:bottom w:val="single" w:color="auto" w:sz="8" w:space="0"/>
              <w:right w:val="single" w:color="auto" w:sz="8" w:space="0"/>
            </w:tcBorders>
            <w:shd w:val="clear" w:color="auto" w:fill="auto"/>
            <w:vAlign w:val="center"/>
          </w:tcPr>
          <w:p>
            <w:pPr>
              <w:widowControl/>
              <w:rPr>
                <w:rFonts w:hint="default" w:ascii="仿宋" w:hAnsi="仿宋" w:eastAsia="仿宋" w:cs="宋体"/>
                <w:color w:val="000000"/>
                <w:kern w:val="0"/>
                <w:sz w:val="24"/>
                <w:lang w:val="en-US" w:eastAsia="zh-CN"/>
              </w:rPr>
            </w:pPr>
            <w:r>
              <w:rPr>
                <w:rFonts w:hint="eastAsia" w:ascii="仿宋" w:hAnsi="仿宋" w:eastAsia="仿宋" w:cs="宋体"/>
                <w:color w:val="000000"/>
                <w:kern w:val="0"/>
                <w:sz w:val="24"/>
                <w:lang w:val="en-US" w:eastAsia="zh-CN"/>
              </w:rPr>
              <w:t>23008</w:t>
            </w:r>
          </w:p>
        </w:tc>
        <w:tc>
          <w:tcPr>
            <w:tcW w:w="4651" w:type="dxa"/>
            <w:tcBorders>
              <w:top w:val="nil"/>
              <w:left w:val="nil"/>
              <w:bottom w:val="single" w:color="auto" w:sz="8" w:space="0"/>
              <w:right w:val="single" w:color="auto" w:sz="8" w:space="0"/>
            </w:tcBorders>
            <w:shd w:val="clear" w:color="auto" w:fill="auto"/>
            <w:vAlign w:val="center"/>
          </w:tcPr>
          <w:p>
            <w:pPr>
              <w:widowControl/>
              <w:jc w:val="left"/>
              <w:rPr>
                <w:rFonts w:hint="eastAsia" w:ascii="仿宋" w:hAnsi="仿宋" w:eastAsia="仿宋" w:cs="宋体"/>
                <w:color w:val="000000"/>
                <w:kern w:val="0"/>
                <w:sz w:val="24"/>
                <w:lang w:val="en-US" w:eastAsia="zh-CN"/>
              </w:rPr>
            </w:pPr>
            <w:r>
              <w:rPr>
                <w:rFonts w:hint="eastAsia" w:ascii="仿宋" w:hAnsi="仿宋" w:eastAsia="仿宋" w:cs="宋体"/>
                <w:color w:val="000000"/>
                <w:kern w:val="0"/>
                <w:sz w:val="24"/>
                <w:lang w:val="en-US" w:eastAsia="zh-CN"/>
              </w:rPr>
              <w:t>调出资金</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hint="default" w:ascii="仿宋" w:hAnsi="仿宋" w:eastAsia="仿宋" w:cs="宋体"/>
                <w:color w:val="000000"/>
                <w:kern w:val="0"/>
                <w:sz w:val="24"/>
                <w:lang w:val="en-US" w:eastAsia="zh-CN"/>
              </w:rPr>
            </w:pPr>
            <w:r>
              <w:rPr>
                <w:rFonts w:hint="eastAsia" w:ascii="仿宋" w:hAnsi="仿宋" w:eastAsia="仿宋" w:cs="宋体"/>
                <w:color w:val="000000"/>
                <w:kern w:val="0"/>
                <w:sz w:val="24"/>
                <w:lang w:val="en-US" w:eastAsia="zh-CN"/>
              </w:rPr>
              <w:t>5606</w:t>
            </w:r>
          </w:p>
        </w:tc>
      </w:tr>
      <w:tr>
        <w:tblPrEx>
          <w:tblCellMar>
            <w:top w:w="0" w:type="dxa"/>
            <w:left w:w="108" w:type="dxa"/>
            <w:bottom w:w="0" w:type="dxa"/>
            <w:right w:w="108" w:type="dxa"/>
          </w:tblCellMar>
        </w:tblPrEx>
        <w:trPr>
          <w:trHeight w:val="600" w:hRule="atLeast"/>
        </w:trPr>
        <w:tc>
          <w:tcPr>
            <w:tcW w:w="1460" w:type="dxa"/>
            <w:tcBorders>
              <w:top w:val="nil"/>
              <w:left w:val="single" w:color="auto" w:sz="8" w:space="0"/>
              <w:bottom w:val="single" w:color="auto" w:sz="8" w:space="0"/>
              <w:right w:val="single" w:color="auto" w:sz="8" w:space="0"/>
            </w:tcBorders>
            <w:shd w:val="clear" w:color="auto" w:fill="auto"/>
            <w:vAlign w:val="center"/>
          </w:tcPr>
          <w:p>
            <w:pPr>
              <w:widowControl/>
              <w:rPr>
                <w:rFonts w:hint="default" w:ascii="仿宋" w:hAnsi="仿宋" w:eastAsia="仿宋" w:cs="宋体"/>
                <w:color w:val="000000"/>
                <w:kern w:val="0"/>
                <w:sz w:val="24"/>
                <w:lang w:val="en-US" w:eastAsia="zh-CN"/>
              </w:rPr>
            </w:pPr>
            <w:r>
              <w:rPr>
                <w:rFonts w:hint="eastAsia" w:ascii="仿宋" w:hAnsi="仿宋" w:eastAsia="仿宋" w:cs="宋体"/>
                <w:color w:val="000000"/>
                <w:kern w:val="0"/>
                <w:sz w:val="24"/>
                <w:lang w:val="en-US" w:eastAsia="zh-CN"/>
              </w:rPr>
              <w:t>2300802</w:t>
            </w:r>
          </w:p>
        </w:tc>
        <w:tc>
          <w:tcPr>
            <w:tcW w:w="4651" w:type="dxa"/>
            <w:tcBorders>
              <w:top w:val="nil"/>
              <w:left w:val="nil"/>
              <w:bottom w:val="single" w:color="auto" w:sz="8" w:space="0"/>
              <w:right w:val="single" w:color="auto" w:sz="8" w:space="0"/>
            </w:tcBorders>
            <w:shd w:val="clear" w:color="auto" w:fill="auto"/>
            <w:vAlign w:val="center"/>
          </w:tcPr>
          <w:p>
            <w:pPr>
              <w:widowControl/>
              <w:jc w:val="left"/>
              <w:rPr>
                <w:rFonts w:hint="default" w:ascii="仿宋" w:hAnsi="仿宋" w:eastAsia="仿宋" w:cs="宋体"/>
                <w:color w:val="000000"/>
                <w:kern w:val="0"/>
                <w:sz w:val="24"/>
                <w:lang w:val="en-US" w:eastAsia="zh-CN"/>
              </w:rPr>
            </w:pPr>
            <w:r>
              <w:rPr>
                <w:rFonts w:hint="eastAsia" w:ascii="仿宋" w:hAnsi="仿宋" w:eastAsia="仿宋" w:cs="宋体"/>
                <w:color w:val="000000"/>
                <w:kern w:val="0"/>
                <w:sz w:val="24"/>
                <w:lang w:val="en-US" w:eastAsia="zh-CN"/>
              </w:rPr>
              <w:t>政府性基金预算调出资金</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hint="eastAsia" w:ascii="仿宋" w:hAnsi="仿宋" w:eastAsia="仿宋" w:cs="宋体"/>
                <w:color w:val="000000"/>
                <w:kern w:val="0"/>
                <w:sz w:val="24"/>
              </w:rPr>
            </w:pPr>
          </w:p>
        </w:tc>
      </w:tr>
      <w:tr>
        <w:tblPrEx>
          <w:tblCellMar>
            <w:top w:w="0" w:type="dxa"/>
            <w:left w:w="108" w:type="dxa"/>
            <w:bottom w:w="0" w:type="dxa"/>
            <w:right w:w="108" w:type="dxa"/>
          </w:tblCellMar>
        </w:tblPrEx>
        <w:trPr>
          <w:trHeight w:val="600" w:hRule="atLeast"/>
        </w:trPr>
        <w:tc>
          <w:tcPr>
            <w:tcW w:w="1460" w:type="dxa"/>
            <w:tcBorders>
              <w:top w:val="nil"/>
              <w:left w:val="single" w:color="auto" w:sz="8" w:space="0"/>
              <w:bottom w:val="single" w:color="auto" w:sz="8" w:space="0"/>
              <w:right w:val="single" w:color="auto" w:sz="8"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232</w:t>
            </w:r>
          </w:p>
        </w:tc>
        <w:tc>
          <w:tcPr>
            <w:tcW w:w="4651" w:type="dxa"/>
            <w:tcBorders>
              <w:top w:val="nil"/>
              <w:left w:val="nil"/>
              <w:bottom w:val="single" w:color="auto" w:sz="8"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债务付息支出</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4</w:t>
            </w:r>
            <w:r>
              <w:rPr>
                <w:rFonts w:hint="eastAsia" w:ascii="仿宋_GB2312" w:hAnsi="宋体" w:eastAsia="仿宋_GB2312" w:cs="宋体"/>
                <w:color w:val="000000"/>
                <w:kern w:val="0"/>
                <w:sz w:val="24"/>
              </w:rPr>
              <w:t>,</w:t>
            </w:r>
            <w:r>
              <w:rPr>
                <w:rFonts w:hint="eastAsia" w:ascii="仿宋" w:hAnsi="仿宋" w:eastAsia="仿宋" w:cs="宋体"/>
                <w:color w:val="000000"/>
                <w:kern w:val="0"/>
                <w:sz w:val="24"/>
              </w:rPr>
              <w:t>500</w:t>
            </w:r>
          </w:p>
        </w:tc>
      </w:tr>
      <w:tr>
        <w:tblPrEx>
          <w:tblCellMar>
            <w:top w:w="0" w:type="dxa"/>
            <w:left w:w="108" w:type="dxa"/>
            <w:bottom w:w="0" w:type="dxa"/>
            <w:right w:w="108" w:type="dxa"/>
          </w:tblCellMar>
        </w:tblPrEx>
        <w:trPr>
          <w:trHeight w:val="600" w:hRule="atLeast"/>
        </w:trPr>
        <w:tc>
          <w:tcPr>
            <w:tcW w:w="1460" w:type="dxa"/>
            <w:tcBorders>
              <w:top w:val="nil"/>
              <w:left w:val="single" w:color="auto" w:sz="8" w:space="0"/>
              <w:bottom w:val="single" w:color="auto" w:sz="8" w:space="0"/>
              <w:right w:val="single" w:color="auto" w:sz="8"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23204</w:t>
            </w:r>
          </w:p>
        </w:tc>
        <w:tc>
          <w:tcPr>
            <w:tcW w:w="4651" w:type="dxa"/>
            <w:tcBorders>
              <w:top w:val="nil"/>
              <w:left w:val="nil"/>
              <w:bottom w:val="single" w:color="auto" w:sz="8" w:space="0"/>
              <w:right w:val="single" w:color="auto" w:sz="8"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地方政府专项债务付息支出</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4</w:t>
            </w:r>
            <w:r>
              <w:rPr>
                <w:rFonts w:hint="eastAsia" w:ascii="仿宋_GB2312" w:hAnsi="宋体" w:eastAsia="仿宋_GB2312" w:cs="宋体"/>
                <w:color w:val="000000"/>
                <w:kern w:val="0"/>
                <w:sz w:val="24"/>
              </w:rPr>
              <w:t>,</w:t>
            </w:r>
            <w:r>
              <w:rPr>
                <w:rFonts w:hint="eastAsia" w:ascii="仿宋" w:hAnsi="仿宋" w:eastAsia="仿宋" w:cs="宋体"/>
                <w:color w:val="000000"/>
                <w:kern w:val="0"/>
                <w:sz w:val="24"/>
              </w:rPr>
              <w:t>500</w:t>
            </w:r>
          </w:p>
        </w:tc>
      </w:tr>
      <w:tr>
        <w:tblPrEx>
          <w:tblCellMar>
            <w:top w:w="0" w:type="dxa"/>
            <w:left w:w="108" w:type="dxa"/>
            <w:bottom w:w="0" w:type="dxa"/>
            <w:right w:w="108" w:type="dxa"/>
          </w:tblCellMar>
        </w:tblPrEx>
        <w:trPr>
          <w:trHeight w:val="600" w:hRule="atLeast"/>
        </w:trPr>
        <w:tc>
          <w:tcPr>
            <w:tcW w:w="6111" w:type="dxa"/>
            <w:gridSpan w:val="2"/>
            <w:tcBorders>
              <w:top w:val="single" w:color="auto" w:sz="8" w:space="0"/>
              <w:left w:val="single" w:color="auto" w:sz="8" w:space="0"/>
              <w:bottom w:val="single" w:color="auto" w:sz="8" w:space="0"/>
              <w:right w:val="single" w:color="000000" w:sz="8"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政府性基金预算支出合计</w:t>
            </w:r>
          </w:p>
        </w:tc>
        <w:tc>
          <w:tcPr>
            <w:tcW w:w="2835" w:type="dxa"/>
            <w:tcBorders>
              <w:top w:val="nil"/>
              <w:left w:val="nil"/>
              <w:bottom w:val="single" w:color="auto" w:sz="8" w:space="0"/>
              <w:right w:val="single" w:color="auto" w:sz="8" w:space="0"/>
            </w:tcBorders>
            <w:shd w:val="clear" w:color="auto" w:fill="auto"/>
            <w:vAlign w:val="center"/>
          </w:tcPr>
          <w:p>
            <w:pPr>
              <w:widowControl/>
              <w:jc w:val="center"/>
              <w:rPr>
                <w:rFonts w:hint="default" w:ascii="仿宋" w:hAnsi="仿宋" w:eastAsia="仿宋" w:cs="宋体"/>
                <w:b/>
                <w:bCs/>
                <w:color w:val="000000"/>
                <w:kern w:val="0"/>
                <w:sz w:val="24"/>
                <w:lang w:val="en-US" w:eastAsia="zh-CN"/>
              </w:rPr>
            </w:pPr>
            <w:r>
              <w:rPr>
                <w:rFonts w:hint="eastAsia" w:ascii="仿宋" w:hAnsi="仿宋" w:eastAsia="仿宋" w:cs="宋体"/>
                <w:b/>
                <w:bCs/>
                <w:color w:val="000000"/>
                <w:kern w:val="0"/>
                <w:sz w:val="24"/>
                <w:lang w:val="en-US" w:eastAsia="zh-CN"/>
              </w:rPr>
              <w:t>57286</w:t>
            </w:r>
          </w:p>
        </w:tc>
      </w:tr>
    </w:tbl>
    <w:p>
      <w:pPr>
        <w:spacing w:line="360" w:lineRule="auto"/>
        <w:rPr>
          <w:rFonts w:ascii="黑体" w:eastAsia="黑体"/>
          <w:b/>
          <w:color w:val="000000" w:themeColor="text1"/>
          <w:sz w:val="34"/>
          <w:szCs w:val="34"/>
        </w:rPr>
      </w:pPr>
    </w:p>
    <w:p>
      <w:pPr>
        <w:pStyle w:val="4"/>
        <w:jc w:val="center"/>
        <w:rPr>
          <w:rFonts w:ascii="仿宋_GB2312" w:eastAsia="仿宋_GB2312"/>
          <w:color w:val="000000" w:themeColor="text1"/>
        </w:rPr>
      </w:pPr>
      <w:bookmarkStart w:id="26" w:name="_Toc60126003"/>
      <w:r>
        <w:rPr>
          <w:rFonts w:hint="eastAsia" w:ascii="仿宋_GB2312" w:eastAsia="仿宋_GB2312"/>
          <w:color w:val="000000" w:themeColor="text1"/>
        </w:rPr>
        <w:t>§4  2021年临港开发区政府债务情况</w:t>
      </w:r>
      <w:bookmarkEnd w:id="26"/>
    </w:p>
    <w:p>
      <w:pPr>
        <w:ind w:firstLine="615"/>
        <w:rPr>
          <w:rFonts w:ascii="仿宋_GB2312" w:eastAsia="仿宋_GB2312"/>
          <w:b/>
          <w:sz w:val="30"/>
          <w:szCs w:val="30"/>
        </w:rPr>
      </w:pPr>
      <w:r>
        <w:rPr>
          <w:rFonts w:hint="eastAsia" w:ascii="仿宋_GB2312" w:eastAsia="仿宋_GB2312"/>
          <w:b/>
          <w:sz w:val="30"/>
          <w:szCs w:val="30"/>
        </w:rPr>
        <w:t>一、政府债务余额基本情况</w:t>
      </w:r>
    </w:p>
    <w:p>
      <w:pPr>
        <w:ind w:firstLine="615"/>
        <w:rPr>
          <w:rFonts w:ascii="仿宋_GB2312" w:eastAsia="仿宋_GB2312"/>
          <w:sz w:val="30"/>
          <w:szCs w:val="30"/>
        </w:rPr>
      </w:pPr>
      <w:r>
        <w:rPr>
          <w:rFonts w:hint="eastAsia" w:ascii="仿宋_GB2312" w:eastAsia="仿宋_GB2312"/>
          <w:sz w:val="30"/>
          <w:szCs w:val="30"/>
        </w:rPr>
        <w:t>上年度政府专项债务发行额为11.4亿元，2020年末政府债务限额为11.4亿元，全部为专项债务限额。</w:t>
      </w:r>
    </w:p>
    <w:p>
      <w:pPr>
        <w:ind w:firstLine="615"/>
        <w:rPr>
          <w:rFonts w:ascii="仿宋_GB2312" w:eastAsia="仿宋_GB2312"/>
          <w:b/>
          <w:sz w:val="30"/>
          <w:szCs w:val="30"/>
        </w:rPr>
      </w:pPr>
      <w:r>
        <w:rPr>
          <w:rFonts w:hint="eastAsia" w:ascii="仿宋_GB2312" w:eastAsia="仿宋_GB2312"/>
          <w:b/>
          <w:sz w:val="30"/>
          <w:szCs w:val="30"/>
        </w:rPr>
        <w:t>二、政府债务余额基本情况</w:t>
      </w:r>
    </w:p>
    <w:p>
      <w:pPr>
        <w:ind w:firstLine="615"/>
        <w:rPr>
          <w:rFonts w:ascii="仿宋_GB2312" w:eastAsia="仿宋_GB2312"/>
          <w:b/>
          <w:sz w:val="30"/>
          <w:szCs w:val="30"/>
        </w:rPr>
      </w:pPr>
      <w:r>
        <w:rPr>
          <w:rFonts w:hint="eastAsia" w:ascii="仿宋_GB2312" w:eastAsia="仿宋_GB2312"/>
          <w:sz w:val="30"/>
          <w:szCs w:val="30"/>
        </w:rPr>
        <w:t>2020年末政府债务余额为11.4亿元，全部为专项债券余额。</w:t>
      </w:r>
    </w:p>
    <w:p>
      <w:pPr>
        <w:ind w:firstLine="615"/>
        <w:rPr>
          <w:rFonts w:ascii="仿宋_GB2312" w:eastAsia="仿宋_GB2312"/>
          <w:b/>
          <w:sz w:val="30"/>
          <w:szCs w:val="30"/>
        </w:rPr>
      </w:pPr>
      <w:r>
        <w:rPr>
          <w:rFonts w:hint="eastAsia" w:ascii="仿宋_GB2312" w:eastAsia="仿宋_GB2312"/>
          <w:b/>
          <w:sz w:val="30"/>
          <w:szCs w:val="30"/>
        </w:rPr>
        <w:t>三、政府还本付息支出及发行服务费支出安排情况</w:t>
      </w:r>
    </w:p>
    <w:p>
      <w:pPr>
        <w:ind w:firstLine="615"/>
        <w:rPr>
          <w:rFonts w:ascii="仿宋_GB2312" w:eastAsia="仿宋_GB2312"/>
          <w:sz w:val="30"/>
          <w:szCs w:val="30"/>
        </w:rPr>
      </w:pPr>
      <w:r>
        <w:rPr>
          <w:rFonts w:hint="eastAsia" w:ascii="仿宋_GB2312" w:eastAsia="仿宋_GB2312"/>
          <w:sz w:val="30"/>
          <w:szCs w:val="30"/>
        </w:rPr>
        <w:t>2021年我区政府债券无还本支出，安排4500万用于政府专项债券项目付息及发行服务费支出。</w:t>
      </w:r>
    </w:p>
    <w:p>
      <w:pPr>
        <w:ind w:firstLine="615"/>
        <w:rPr>
          <w:rFonts w:ascii="仿宋_GB2312" w:eastAsia="仿宋_GB2312"/>
          <w:b/>
          <w:sz w:val="30"/>
          <w:szCs w:val="30"/>
        </w:rPr>
      </w:pPr>
      <w:r>
        <w:rPr>
          <w:rFonts w:hint="eastAsia" w:ascii="仿宋_GB2312" w:eastAsia="仿宋_GB2312"/>
          <w:b/>
          <w:sz w:val="30"/>
          <w:szCs w:val="30"/>
        </w:rPr>
        <w:t>四、政府隐性债务化解方案支出安排情况</w:t>
      </w:r>
    </w:p>
    <w:p>
      <w:pPr>
        <w:ind w:firstLine="615"/>
        <w:rPr>
          <w:rFonts w:ascii="仿宋_GB2312" w:eastAsia="仿宋_GB2312"/>
          <w:sz w:val="30"/>
          <w:szCs w:val="30"/>
        </w:rPr>
      </w:pPr>
      <w:r>
        <w:rPr>
          <w:rFonts w:hint="eastAsia" w:ascii="仿宋_GB2312" w:eastAsia="仿宋_GB2312"/>
          <w:sz w:val="30"/>
          <w:szCs w:val="30"/>
        </w:rPr>
        <w:t>按照我区制定的地方政府隐性债务化解方案，2021年度安排政府隐性债务化解专项资金4300万元，至此我区隐</w:t>
      </w:r>
      <w:r>
        <w:rPr>
          <w:rFonts w:hint="eastAsia" w:ascii="仿宋_GB2312" w:eastAsia="仿宋_GB2312"/>
          <w:sz w:val="30"/>
          <w:szCs w:val="30"/>
          <w:lang w:val="en-US" w:eastAsia="zh-CN"/>
        </w:rPr>
        <w:t>性</w:t>
      </w:r>
      <w:r>
        <w:rPr>
          <w:rFonts w:hint="eastAsia" w:ascii="仿宋_GB2312" w:eastAsia="仿宋_GB2312"/>
          <w:sz w:val="30"/>
          <w:szCs w:val="30"/>
        </w:rPr>
        <w:t>债务于2021年全部化解完毕。</w:t>
      </w:r>
    </w:p>
    <w:p>
      <w:pPr>
        <w:ind w:firstLine="615"/>
        <w:rPr>
          <w:rFonts w:ascii="仿宋_GB2312" w:eastAsia="仿宋_GB2312"/>
          <w:b/>
          <w:sz w:val="30"/>
          <w:szCs w:val="30"/>
        </w:rPr>
      </w:pPr>
      <w:r>
        <w:rPr>
          <w:rFonts w:hint="eastAsia" w:ascii="仿宋_GB2312" w:eastAsia="仿宋_GB2312"/>
          <w:b/>
          <w:sz w:val="30"/>
          <w:szCs w:val="30"/>
        </w:rPr>
        <w:t>五、其他情况说明</w:t>
      </w:r>
    </w:p>
    <w:p>
      <w:pPr>
        <w:ind w:firstLine="615"/>
        <w:rPr>
          <w:rFonts w:ascii="仿宋_GB2312" w:eastAsia="仿宋_GB2312"/>
          <w:sz w:val="30"/>
          <w:szCs w:val="30"/>
        </w:rPr>
      </w:pPr>
      <w:r>
        <w:rPr>
          <w:rFonts w:hint="eastAsia" w:ascii="仿宋_GB2312" w:eastAsia="仿宋_GB2312"/>
          <w:sz w:val="30"/>
          <w:szCs w:val="30"/>
        </w:rPr>
        <w:t>我区政府债务整体规模较小，临港开发区将严格落实中央、省、市各级对政府债务的相关规定，实行稳健的财政政策，严守正负面清单，不搞脱离财力可能的项目建设，确保政府隐性债务增量为零。</w:t>
      </w:r>
    </w:p>
    <w:p>
      <w:pPr>
        <w:pStyle w:val="3"/>
        <w:jc w:val="center"/>
        <w:rPr>
          <w:rFonts w:ascii="仿宋_GB2312" w:eastAsia="仿宋_GB2312"/>
          <w:b w:val="0"/>
          <w:color w:val="000000" w:themeColor="text1"/>
        </w:rPr>
      </w:pPr>
      <w:bookmarkStart w:id="27" w:name="_Toc60126004"/>
      <w:bookmarkStart w:id="28" w:name="_Toc500947604"/>
      <w:r>
        <w:rPr>
          <w:rFonts w:hint="eastAsia" w:ascii="仿宋_GB2312" w:eastAsia="仿宋_GB2312"/>
          <w:color w:val="000000" w:themeColor="text1"/>
        </w:rPr>
        <w:t>第四部分</w:t>
      </w:r>
      <w:r>
        <w:rPr>
          <w:rFonts w:ascii="仿宋_GB2312" w:eastAsia="仿宋_GB2312"/>
          <w:color w:val="000000" w:themeColor="text1"/>
        </w:rPr>
        <w:t xml:space="preserve">  </w:t>
      </w:r>
      <w:r>
        <w:rPr>
          <w:rFonts w:hint="eastAsia" w:ascii="仿宋_GB2312" w:eastAsia="仿宋_GB2312"/>
          <w:color w:val="000000" w:themeColor="text1"/>
        </w:rPr>
        <w:t>2021年沧州临港经济技术开发区社会保险基金预算（草案）</w:t>
      </w:r>
      <w:bookmarkEnd w:id="27"/>
      <w:bookmarkEnd w:id="28"/>
    </w:p>
    <w:p>
      <w:pPr>
        <w:pStyle w:val="4"/>
        <w:jc w:val="center"/>
        <w:rPr>
          <w:rFonts w:ascii="仿宋_GB2312" w:eastAsia="仿宋_GB2312"/>
          <w:color w:val="000000" w:themeColor="text1"/>
        </w:rPr>
      </w:pPr>
      <w:bookmarkStart w:id="29" w:name="_Toc500947605"/>
      <w:bookmarkStart w:id="30" w:name="_Toc60126005"/>
      <w:r>
        <w:rPr>
          <w:rFonts w:hint="eastAsia" w:ascii="仿宋_GB2312" w:eastAsia="仿宋_GB2312"/>
          <w:color w:val="000000" w:themeColor="text1"/>
        </w:rPr>
        <w:t>§</w:t>
      </w:r>
      <w:r>
        <w:rPr>
          <w:rFonts w:ascii="仿宋_GB2312" w:eastAsia="仿宋_GB2312"/>
          <w:color w:val="000000" w:themeColor="text1"/>
        </w:rPr>
        <w:t xml:space="preserve">1 </w:t>
      </w:r>
      <w:r>
        <w:rPr>
          <w:rFonts w:hint="eastAsia" w:ascii="仿宋_GB2312" w:eastAsia="仿宋_GB2312"/>
          <w:color w:val="000000" w:themeColor="text1"/>
        </w:rPr>
        <w:t xml:space="preserve"> 2021年社会保险基金收支安排情况</w:t>
      </w:r>
      <w:bookmarkEnd w:id="29"/>
      <w:bookmarkEnd w:id="30"/>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根据《预算法》、《</w:t>
      </w:r>
      <w:r>
        <w:rPr>
          <w:rFonts w:hint="eastAsia" w:ascii="仿宋_GB2312" w:eastAsia="仿宋_GB2312"/>
          <w:color w:val="000000" w:themeColor="text1"/>
          <w:sz w:val="30"/>
          <w:szCs w:val="30"/>
          <w:lang w:eastAsia="zh-CN"/>
        </w:rPr>
        <w:t>中华人民共和国</w:t>
      </w:r>
      <w:r>
        <w:rPr>
          <w:rFonts w:hint="eastAsia" w:ascii="仿宋_GB2312" w:eastAsia="仿宋_GB2312"/>
          <w:color w:val="000000" w:themeColor="text1"/>
          <w:sz w:val="30"/>
          <w:szCs w:val="30"/>
        </w:rPr>
        <w:t>社会保险法》和《关于试行社会保险基金预算的意见》（国发〔</w:t>
      </w:r>
      <w:r>
        <w:rPr>
          <w:rFonts w:ascii="仿宋_GB2312" w:eastAsia="仿宋_GB2312"/>
          <w:color w:val="000000" w:themeColor="text1"/>
          <w:sz w:val="30"/>
          <w:szCs w:val="30"/>
        </w:rPr>
        <w:t>2010</w:t>
      </w:r>
      <w:r>
        <w:rPr>
          <w:rFonts w:hint="eastAsia" w:ascii="仿宋_GB2312" w:eastAsia="仿宋_GB2312"/>
          <w:color w:val="000000" w:themeColor="text1"/>
          <w:sz w:val="30"/>
          <w:szCs w:val="30"/>
        </w:rPr>
        <w:t>〕</w:t>
      </w:r>
      <w:r>
        <w:rPr>
          <w:rFonts w:ascii="仿宋_GB2312" w:eastAsia="仿宋_GB2312"/>
          <w:color w:val="000000" w:themeColor="text1"/>
          <w:sz w:val="30"/>
          <w:szCs w:val="30"/>
        </w:rPr>
        <w:t>2</w:t>
      </w:r>
      <w:r>
        <w:rPr>
          <w:rFonts w:hint="eastAsia" w:ascii="仿宋_GB2312" w:eastAsia="仿宋_GB2312"/>
          <w:color w:val="000000" w:themeColor="text1"/>
          <w:sz w:val="30"/>
          <w:szCs w:val="30"/>
        </w:rPr>
        <w:t>号）有关规定，编制2021年社会保险基金预算。</w:t>
      </w:r>
    </w:p>
    <w:p>
      <w:pPr>
        <w:ind w:firstLine="602" w:firstLineChars="200"/>
        <w:rPr>
          <w:rFonts w:ascii="仿宋_GB2312" w:eastAsia="仿宋_GB2312"/>
          <w:b/>
          <w:color w:val="000000" w:themeColor="text1"/>
          <w:sz w:val="30"/>
          <w:szCs w:val="30"/>
        </w:rPr>
      </w:pPr>
      <w:r>
        <w:rPr>
          <w:rFonts w:hint="eastAsia" w:ascii="仿宋_GB2312" w:eastAsia="仿宋_GB2312"/>
          <w:b/>
          <w:color w:val="000000" w:themeColor="text1"/>
          <w:sz w:val="30"/>
          <w:szCs w:val="30"/>
        </w:rPr>
        <w:t>一、预算编制的原则</w:t>
      </w:r>
    </w:p>
    <w:p>
      <w:pPr>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（一）依法编制，规范统一。</w:t>
      </w:r>
      <w:r>
        <w:rPr>
          <w:rFonts w:hint="eastAsia" w:ascii="仿宋_GB2312" w:eastAsia="仿宋_GB2312"/>
          <w:color w:val="000000" w:themeColor="text1"/>
          <w:sz w:val="30"/>
          <w:szCs w:val="30"/>
        </w:rPr>
        <w:t>预算编制严格按照国家法律法规以及国家社会保险政策规定的范围、程序、方法和内容进行；全省统一运用社会保险基金软件编报预算，提高预算编报的信息化水平，确保预算编制及时、准确、有效。</w:t>
      </w:r>
    </w:p>
    <w:p>
      <w:pPr>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（二）统筹协调，明确责任。</w:t>
      </w:r>
      <w:r>
        <w:rPr>
          <w:rFonts w:hint="eastAsia" w:ascii="仿宋_GB2312" w:eastAsia="仿宋_GB2312"/>
          <w:color w:val="000000" w:themeColor="text1"/>
          <w:sz w:val="30"/>
          <w:szCs w:val="30"/>
        </w:rPr>
        <w:t>全区社会保险基金预算编制工作由区财政部门牵头，区人社部门积极配合，统一部署，协调推进。各部门责任明确，分工有序，确保编报工作稳妥进行。</w:t>
      </w:r>
    </w:p>
    <w:p>
      <w:pPr>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（三）专项基金，专款专用。</w:t>
      </w:r>
      <w:r>
        <w:rPr>
          <w:rFonts w:hint="eastAsia" w:ascii="仿宋_GB2312" w:eastAsia="仿宋_GB2312"/>
          <w:color w:val="000000" w:themeColor="text1"/>
          <w:sz w:val="30"/>
          <w:szCs w:val="30"/>
        </w:rPr>
        <w:t>社会保险各项基金预算严格按照有关法律法规规范收支内容、标准和范围，专款专用，不得挤占或挪作他用。</w:t>
      </w:r>
    </w:p>
    <w:p>
      <w:pPr>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（四）相对独立，有机衔接。</w:t>
      </w:r>
      <w:r>
        <w:rPr>
          <w:rFonts w:hint="eastAsia" w:ascii="仿宋_GB2312" w:eastAsia="仿宋_GB2312"/>
          <w:color w:val="000000" w:themeColor="text1"/>
          <w:sz w:val="30"/>
          <w:szCs w:val="30"/>
        </w:rPr>
        <w:t>社会保险基金预算单独编报，与一般公共预算相对独立、有机衔接。社会保险基金不能用于平衡一般公共预算，一般公共预算可补助社会保险基金预算。</w:t>
      </w:r>
    </w:p>
    <w:p>
      <w:pPr>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（五）收支平衡，留有结余。</w:t>
      </w:r>
      <w:r>
        <w:rPr>
          <w:rFonts w:hint="eastAsia" w:ascii="仿宋_GB2312" w:eastAsia="仿宋_GB2312"/>
          <w:color w:val="000000" w:themeColor="text1"/>
          <w:sz w:val="30"/>
          <w:szCs w:val="30"/>
        </w:rPr>
        <w:t>社会保险基金预算坚持收支平衡，适当留有结余。</w:t>
      </w:r>
    </w:p>
    <w:p>
      <w:pPr>
        <w:ind w:firstLine="602" w:firstLineChars="200"/>
        <w:rPr>
          <w:rFonts w:ascii="仿宋_GB2312" w:eastAsia="仿宋_GB2312"/>
          <w:b/>
          <w:sz w:val="30"/>
          <w:szCs w:val="30"/>
        </w:rPr>
      </w:pPr>
      <w:r>
        <w:rPr>
          <w:rFonts w:hint="eastAsia" w:ascii="仿宋_GB2312" w:eastAsia="仿宋_GB2312"/>
          <w:b/>
          <w:sz w:val="30"/>
          <w:szCs w:val="30"/>
        </w:rPr>
        <w:t>二、社会保险基金收入预算</w:t>
      </w:r>
    </w:p>
    <w:p>
      <w:pPr>
        <w:ind w:firstLine="600" w:firstLineChars="200"/>
        <w:rPr>
          <w:rFonts w:ascii="仿宋_GB2312" w:eastAsia="仿宋_GB2312"/>
          <w:sz w:val="30"/>
          <w:szCs w:val="30"/>
        </w:rPr>
      </w:pPr>
      <w:r>
        <w:rPr>
          <w:rFonts w:ascii="仿宋_GB2312" w:eastAsia="仿宋_GB2312"/>
          <w:sz w:val="30"/>
          <w:szCs w:val="30"/>
        </w:rPr>
        <w:t>20</w:t>
      </w:r>
      <w:r>
        <w:rPr>
          <w:rFonts w:hint="eastAsia" w:ascii="仿宋_GB2312" w:eastAsia="仿宋_GB2312"/>
          <w:sz w:val="30"/>
          <w:szCs w:val="30"/>
        </w:rPr>
        <w:t>21年区级社会保险基金收入安排6317万元，其中社会保险基金收入6314万元（职工基本医疗保险基金收入5886万元，机关事业养老保险基金收入428万元）；转移性收入3万元。</w:t>
      </w:r>
    </w:p>
    <w:p>
      <w:pPr>
        <w:ind w:firstLine="602" w:firstLineChars="200"/>
        <w:rPr>
          <w:rFonts w:ascii="仿宋_GB2312" w:eastAsia="仿宋_GB2312"/>
          <w:b/>
          <w:sz w:val="30"/>
          <w:szCs w:val="30"/>
        </w:rPr>
      </w:pPr>
      <w:r>
        <w:rPr>
          <w:rFonts w:hint="eastAsia" w:ascii="仿宋_GB2312" w:eastAsia="仿宋_GB2312"/>
          <w:b/>
          <w:sz w:val="30"/>
          <w:szCs w:val="30"/>
        </w:rPr>
        <w:t>三、社会保险基金支出预算</w:t>
      </w:r>
    </w:p>
    <w:p>
      <w:pPr>
        <w:ind w:firstLine="600" w:firstLineChars="200"/>
        <w:rPr>
          <w:rFonts w:ascii="仿宋_GB2312" w:eastAsia="仿宋_GB2312"/>
          <w:sz w:val="30"/>
          <w:szCs w:val="30"/>
        </w:rPr>
      </w:pPr>
      <w:r>
        <w:rPr>
          <w:rFonts w:ascii="仿宋_GB2312" w:eastAsia="仿宋_GB2312"/>
          <w:sz w:val="30"/>
          <w:szCs w:val="30"/>
        </w:rPr>
        <w:t>20</w:t>
      </w:r>
      <w:r>
        <w:rPr>
          <w:rFonts w:hint="eastAsia" w:ascii="仿宋_GB2312" w:eastAsia="仿宋_GB2312"/>
          <w:sz w:val="30"/>
          <w:szCs w:val="30"/>
        </w:rPr>
        <w:t>21年区本级社会保险基金支出安排1167万元，其中职工基本医疗保险基金支出771万元，机关事业单位基本养老保险基金支出25万元，上解上级支出310万元，社会保险基金转移支出61万元。</w:t>
      </w:r>
    </w:p>
    <w:p>
      <w:pPr>
        <w:spacing w:line="360" w:lineRule="auto"/>
        <w:rPr>
          <w:rFonts w:ascii="仿宋_GB2312" w:eastAsia="仿宋_GB2312"/>
          <w:b/>
          <w:sz w:val="32"/>
          <w:szCs w:val="32"/>
        </w:rPr>
      </w:pPr>
    </w:p>
    <w:p>
      <w:pPr>
        <w:spacing w:line="360" w:lineRule="auto"/>
        <w:rPr>
          <w:rFonts w:ascii="黑体" w:eastAsia="黑体"/>
          <w:b/>
          <w:sz w:val="52"/>
          <w:szCs w:val="52"/>
        </w:rPr>
      </w:pPr>
    </w:p>
    <w:p>
      <w:pPr>
        <w:spacing w:line="360" w:lineRule="auto"/>
        <w:rPr>
          <w:rFonts w:ascii="黑体" w:eastAsia="黑体"/>
          <w:b/>
          <w:sz w:val="52"/>
          <w:szCs w:val="52"/>
        </w:rPr>
      </w:pPr>
    </w:p>
    <w:p>
      <w:pPr>
        <w:pStyle w:val="4"/>
        <w:rPr>
          <w:rFonts w:ascii="黑体" w:eastAsia="黑体"/>
          <w:b w:val="0"/>
          <w:sz w:val="52"/>
          <w:szCs w:val="52"/>
        </w:rPr>
      </w:pPr>
    </w:p>
    <w:tbl>
      <w:tblPr>
        <w:tblStyle w:val="15"/>
        <w:tblpPr w:leftFromText="180" w:rightFromText="180" w:horzAnchor="margin" w:tblpX="-176" w:tblpY="570"/>
        <w:tblW w:w="9616" w:type="dxa"/>
        <w:tblInd w:w="0" w:type="dxa"/>
        <w:tblLayout w:type="fixed"/>
        <w:tblCellMar>
          <w:top w:w="0" w:type="dxa"/>
          <w:left w:w="108" w:type="dxa"/>
          <w:bottom w:w="0" w:type="dxa"/>
          <w:right w:w="108" w:type="dxa"/>
        </w:tblCellMar>
      </w:tblPr>
      <w:tblGrid>
        <w:gridCol w:w="3119"/>
        <w:gridCol w:w="257"/>
        <w:gridCol w:w="1303"/>
        <w:gridCol w:w="3118"/>
        <w:gridCol w:w="299"/>
        <w:gridCol w:w="1520"/>
      </w:tblGrid>
      <w:tr>
        <w:tblPrEx>
          <w:tblCellMar>
            <w:top w:w="0" w:type="dxa"/>
            <w:left w:w="108" w:type="dxa"/>
            <w:bottom w:w="0" w:type="dxa"/>
            <w:right w:w="108" w:type="dxa"/>
          </w:tblCellMar>
        </w:tblPrEx>
        <w:trPr>
          <w:trHeight w:val="630" w:hRule="atLeast"/>
        </w:trPr>
        <w:tc>
          <w:tcPr>
            <w:tcW w:w="9616" w:type="dxa"/>
            <w:gridSpan w:val="6"/>
            <w:tcBorders>
              <w:top w:val="nil"/>
              <w:left w:val="nil"/>
              <w:bottom w:val="nil"/>
              <w:right w:val="nil"/>
            </w:tcBorders>
            <w:vAlign w:val="center"/>
          </w:tcPr>
          <w:p>
            <w:pPr>
              <w:pStyle w:val="4"/>
              <w:jc w:val="center"/>
              <w:rPr>
                <w:rFonts w:ascii="仿宋_GB2312" w:eastAsia="仿宋_GB2312"/>
                <w:color w:val="000000" w:themeColor="text1"/>
              </w:rPr>
            </w:pPr>
            <w:bookmarkStart w:id="31" w:name="_Toc500947606"/>
            <w:bookmarkStart w:id="32" w:name="_Toc60126006"/>
            <w:bookmarkStart w:id="33" w:name="_Toc503275897"/>
            <w:r>
              <w:rPr>
                <w:rFonts w:hint="eastAsia" w:ascii="仿宋_GB2312" w:eastAsia="仿宋_GB2312"/>
                <w:color w:val="000000" w:themeColor="text1"/>
              </w:rPr>
              <w:t>§</w:t>
            </w:r>
            <w:r>
              <w:rPr>
                <w:rFonts w:ascii="仿宋_GB2312" w:eastAsia="仿宋_GB2312"/>
                <w:color w:val="000000" w:themeColor="text1"/>
              </w:rPr>
              <w:t>2  20</w:t>
            </w:r>
            <w:r>
              <w:rPr>
                <w:rFonts w:hint="eastAsia" w:ascii="仿宋_GB2312" w:eastAsia="仿宋_GB2312"/>
                <w:color w:val="000000" w:themeColor="text1"/>
              </w:rPr>
              <w:t>21年区本级社会保险基金预算收支平衡表</w:t>
            </w:r>
            <w:bookmarkEnd w:id="31"/>
            <w:bookmarkEnd w:id="32"/>
            <w:bookmarkEnd w:id="33"/>
          </w:p>
        </w:tc>
      </w:tr>
      <w:tr>
        <w:tblPrEx>
          <w:tblCellMar>
            <w:top w:w="0" w:type="dxa"/>
            <w:left w:w="108" w:type="dxa"/>
            <w:bottom w:w="0" w:type="dxa"/>
            <w:right w:w="108" w:type="dxa"/>
          </w:tblCellMar>
        </w:tblPrEx>
        <w:trPr>
          <w:trHeight w:val="465" w:hRule="atLeast"/>
        </w:trPr>
        <w:tc>
          <w:tcPr>
            <w:tcW w:w="3376" w:type="dxa"/>
            <w:gridSpan w:val="2"/>
            <w:tcBorders>
              <w:top w:val="nil"/>
              <w:left w:val="nil"/>
              <w:bottom w:val="nil"/>
              <w:right w:val="nil"/>
            </w:tcBorders>
            <w:vAlign w:val="center"/>
          </w:tcPr>
          <w:p>
            <w:pPr>
              <w:widowControl/>
              <w:jc w:val="left"/>
              <w:rPr>
                <w:rFonts w:ascii="仿宋" w:hAnsi="仿宋" w:eastAsia="仿宋" w:cs="宋体"/>
                <w:color w:val="000000"/>
                <w:kern w:val="0"/>
                <w:sz w:val="24"/>
              </w:rPr>
            </w:pPr>
          </w:p>
        </w:tc>
        <w:tc>
          <w:tcPr>
            <w:tcW w:w="1303" w:type="dxa"/>
            <w:tcBorders>
              <w:top w:val="nil"/>
              <w:left w:val="nil"/>
              <w:bottom w:val="nil"/>
              <w:right w:val="nil"/>
            </w:tcBorders>
            <w:vAlign w:val="center"/>
          </w:tcPr>
          <w:p>
            <w:pPr>
              <w:widowControl/>
              <w:jc w:val="right"/>
              <w:rPr>
                <w:rFonts w:ascii="仿宋" w:hAnsi="仿宋" w:eastAsia="仿宋" w:cs="宋体"/>
                <w:color w:val="000000"/>
                <w:kern w:val="0"/>
                <w:sz w:val="24"/>
              </w:rPr>
            </w:pPr>
          </w:p>
        </w:tc>
        <w:tc>
          <w:tcPr>
            <w:tcW w:w="3417" w:type="dxa"/>
            <w:gridSpan w:val="2"/>
            <w:tcBorders>
              <w:top w:val="nil"/>
              <w:left w:val="nil"/>
              <w:bottom w:val="nil"/>
              <w:right w:val="nil"/>
            </w:tcBorders>
            <w:vAlign w:val="center"/>
          </w:tcPr>
          <w:p>
            <w:pPr>
              <w:widowControl/>
              <w:jc w:val="left"/>
              <w:rPr>
                <w:rFonts w:ascii="仿宋" w:hAnsi="仿宋" w:eastAsia="仿宋" w:cs="宋体"/>
                <w:color w:val="000000"/>
                <w:kern w:val="0"/>
                <w:sz w:val="22"/>
                <w:szCs w:val="22"/>
              </w:rPr>
            </w:pPr>
          </w:p>
        </w:tc>
        <w:tc>
          <w:tcPr>
            <w:tcW w:w="1520" w:type="dxa"/>
            <w:tcBorders>
              <w:top w:val="nil"/>
              <w:left w:val="nil"/>
              <w:bottom w:val="nil"/>
              <w:right w:val="nil"/>
            </w:tcBorders>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单位：万元</w:t>
            </w:r>
          </w:p>
        </w:tc>
      </w:tr>
      <w:tr>
        <w:tblPrEx>
          <w:tblCellMar>
            <w:top w:w="0" w:type="dxa"/>
            <w:left w:w="108" w:type="dxa"/>
            <w:bottom w:w="0" w:type="dxa"/>
            <w:right w:w="108" w:type="dxa"/>
          </w:tblCellMar>
        </w:tblPrEx>
        <w:trPr>
          <w:trHeight w:val="495" w:hRule="atLeast"/>
        </w:trPr>
        <w:tc>
          <w:tcPr>
            <w:tcW w:w="4679"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b/>
                <w:bCs/>
                <w:color w:val="000000"/>
                <w:kern w:val="0"/>
                <w:sz w:val="24"/>
              </w:rPr>
            </w:pPr>
            <w:r>
              <w:rPr>
                <w:rFonts w:hint="eastAsia" w:ascii="仿宋" w:hAnsi="仿宋" w:eastAsia="仿宋"/>
                <w:b/>
                <w:bCs/>
                <w:color w:val="000000"/>
                <w:kern w:val="0"/>
                <w:sz w:val="24"/>
              </w:rPr>
              <w:t>收</w:t>
            </w:r>
            <w:r>
              <w:rPr>
                <w:rFonts w:ascii="仿宋" w:hAnsi="仿宋" w:eastAsia="仿宋"/>
                <w:b/>
                <w:bCs/>
                <w:color w:val="000000"/>
                <w:kern w:val="0"/>
                <w:sz w:val="24"/>
              </w:rPr>
              <w:t xml:space="preserve">   </w:t>
            </w:r>
            <w:r>
              <w:rPr>
                <w:rFonts w:hint="eastAsia" w:ascii="仿宋" w:hAnsi="仿宋" w:eastAsia="仿宋"/>
                <w:b/>
                <w:bCs/>
                <w:color w:val="000000"/>
                <w:kern w:val="0"/>
                <w:sz w:val="24"/>
              </w:rPr>
              <w:t>入</w:t>
            </w:r>
          </w:p>
        </w:tc>
        <w:tc>
          <w:tcPr>
            <w:tcW w:w="4937" w:type="dxa"/>
            <w:gridSpan w:val="3"/>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b/>
                <w:bCs/>
                <w:color w:val="000000"/>
                <w:kern w:val="0"/>
                <w:sz w:val="24"/>
              </w:rPr>
            </w:pPr>
            <w:r>
              <w:rPr>
                <w:rFonts w:hint="eastAsia" w:ascii="仿宋" w:hAnsi="仿宋" w:eastAsia="仿宋"/>
                <w:b/>
                <w:bCs/>
                <w:color w:val="000000"/>
                <w:kern w:val="0"/>
                <w:sz w:val="24"/>
              </w:rPr>
              <w:t>支</w:t>
            </w:r>
            <w:r>
              <w:rPr>
                <w:rFonts w:ascii="仿宋" w:hAnsi="仿宋" w:eastAsia="仿宋"/>
                <w:b/>
                <w:bCs/>
                <w:color w:val="000000"/>
                <w:kern w:val="0"/>
                <w:sz w:val="24"/>
              </w:rPr>
              <w:t xml:space="preserve">   </w:t>
            </w:r>
            <w:r>
              <w:rPr>
                <w:rFonts w:hint="eastAsia" w:ascii="仿宋" w:hAnsi="仿宋" w:eastAsia="仿宋"/>
                <w:b/>
                <w:bCs/>
                <w:color w:val="000000"/>
                <w:kern w:val="0"/>
                <w:sz w:val="24"/>
              </w:rPr>
              <w:t>出</w:t>
            </w:r>
          </w:p>
        </w:tc>
      </w:tr>
      <w:tr>
        <w:tblPrEx>
          <w:tblCellMar>
            <w:top w:w="0" w:type="dxa"/>
            <w:left w:w="108" w:type="dxa"/>
            <w:bottom w:w="0" w:type="dxa"/>
            <w:right w:w="108" w:type="dxa"/>
          </w:tblCellMar>
        </w:tblPrEx>
        <w:trPr>
          <w:trHeight w:val="540" w:hRule="atLeast"/>
        </w:trPr>
        <w:tc>
          <w:tcPr>
            <w:tcW w:w="3119"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b/>
                <w:bCs/>
                <w:color w:val="000000"/>
                <w:kern w:val="0"/>
                <w:sz w:val="24"/>
              </w:rPr>
            </w:pPr>
            <w:r>
              <w:rPr>
                <w:rFonts w:hint="eastAsia" w:ascii="仿宋" w:hAnsi="仿宋" w:eastAsia="仿宋"/>
                <w:b/>
                <w:bCs/>
                <w:color w:val="000000"/>
                <w:kern w:val="0"/>
                <w:sz w:val="24"/>
              </w:rPr>
              <w:t>项</w:t>
            </w:r>
            <w:r>
              <w:rPr>
                <w:rFonts w:ascii="仿宋" w:hAnsi="仿宋" w:eastAsia="仿宋"/>
                <w:b/>
                <w:bCs/>
                <w:color w:val="000000"/>
                <w:kern w:val="0"/>
                <w:sz w:val="24"/>
              </w:rPr>
              <w:t xml:space="preserve">    </w:t>
            </w:r>
            <w:r>
              <w:rPr>
                <w:rFonts w:hint="eastAsia" w:ascii="仿宋" w:hAnsi="仿宋" w:eastAsia="仿宋"/>
                <w:b/>
                <w:bCs/>
                <w:color w:val="000000"/>
                <w:kern w:val="0"/>
                <w:sz w:val="24"/>
              </w:rPr>
              <w:t>目</w:t>
            </w:r>
          </w:p>
        </w:tc>
        <w:tc>
          <w:tcPr>
            <w:tcW w:w="1560" w:type="dxa"/>
            <w:gridSpan w:val="2"/>
            <w:tcBorders>
              <w:top w:val="nil"/>
              <w:left w:val="nil"/>
              <w:bottom w:val="single" w:color="auto" w:sz="4" w:space="0"/>
              <w:right w:val="single" w:color="auto" w:sz="4" w:space="0"/>
            </w:tcBorders>
            <w:vAlign w:val="center"/>
          </w:tcPr>
          <w:p>
            <w:pPr>
              <w:widowControl/>
              <w:jc w:val="center"/>
              <w:rPr>
                <w:rFonts w:ascii="仿宋" w:hAnsi="仿宋" w:eastAsia="仿宋"/>
                <w:b/>
                <w:bCs/>
                <w:color w:val="000000"/>
                <w:kern w:val="0"/>
                <w:sz w:val="24"/>
              </w:rPr>
            </w:pPr>
            <w:r>
              <w:rPr>
                <w:rFonts w:hint="eastAsia" w:ascii="仿宋" w:hAnsi="仿宋" w:eastAsia="仿宋"/>
                <w:b/>
                <w:bCs/>
                <w:color w:val="000000"/>
                <w:kern w:val="0"/>
                <w:sz w:val="24"/>
              </w:rPr>
              <w:t>预算安排</w:t>
            </w:r>
          </w:p>
        </w:tc>
        <w:tc>
          <w:tcPr>
            <w:tcW w:w="3118" w:type="dxa"/>
            <w:tcBorders>
              <w:top w:val="nil"/>
              <w:left w:val="nil"/>
              <w:bottom w:val="single" w:color="auto" w:sz="4" w:space="0"/>
              <w:right w:val="single" w:color="auto" w:sz="4" w:space="0"/>
            </w:tcBorders>
            <w:vAlign w:val="center"/>
          </w:tcPr>
          <w:p>
            <w:pPr>
              <w:widowControl/>
              <w:jc w:val="center"/>
              <w:rPr>
                <w:rFonts w:ascii="仿宋" w:hAnsi="仿宋" w:eastAsia="仿宋"/>
                <w:b/>
                <w:bCs/>
                <w:color w:val="000000"/>
                <w:kern w:val="0"/>
                <w:sz w:val="24"/>
              </w:rPr>
            </w:pPr>
            <w:r>
              <w:rPr>
                <w:rFonts w:hint="eastAsia" w:ascii="仿宋" w:hAnsi="仿宋" w:eastAsia="仿宋"/>
                <w:b/>
                <w:bCs/>
                <w:color w:val="000000"/>
                <w:kern w:val="0"/>
                <w:sz w:val="24"/>
              </w:rPr>
              <w:t>项</w:t>
            </w:r>
            <w:r>
              <w:rPr>
                <w:rFonts w:ascii="仿宋" w:hAnsi="仿宋" w:eastAsia="仿宋"/>
                <w:b/>
                <w:bCs/>
                <w:color w:val="000000"/>
                <w:kern w:val="0"/>
                <w:sz w:val="24"/>
              </w:rPr>
              <w:t xml:space="preserve">    </w:t>
            </w:r>
            <w:r>
              <w:rPr>
                <w:rFonts w:hint="eastAsia" w:ascii="仿宋" w:hAnsi="仿宋" w:eastAsia="仿宋"/>
                <w:b/>
                <w:bCs/>
                <w:color w:val="000000"/>
                <w:kern w:val="0"/>
                <w:sz w:val="24"/>
              </w:rPr>
              <w:t>目</w:t>
            </w:r>
          </w:p>
        </w:tc>
        <w:tc>
          <w:tcPr>
            <w:tcW w:w="1819" w:type="dxa"/>
            <w:gridSpan w:val="2"/>
            <w:tcBorders>
              <w:top w:val="nil"/>
              <w:left w:val="nil"/>
              <w:bottom w:val="single" w:color="auto" w:sz="4" w:space="0"/>
              <w:right w:val="single" w:color="auto" w:sz="4" w:space="0"/>
            </w:tcBorders>
            <w:vAlign w:val="center"/>
          </w:tcPr>
          <w:p>
            <w:pPr>
              <w:widowControl/>
              <w:jc w:val="center"/>
              <w:rPr>
                <w:rFonts w:ascii="仿宋" w:hAnsi="仿宋" w:eastAsia="仿宋"/>
                <w:b/>
                <w:bCs/>
                <w:color w:val="000000"/>
                <w:kern w:val="0"/>
                <w:sz w:val="24"/>
              </w:rPr>
            </w:pPr>
            <w:r>
              <w:rPr>
                <w:rFonts w:hint="eastAsia" w:ascii="仿宋" w:hAnsi="仿宋" w:eastAsia="仿宋"/>
                <w:b/>
                <w:bCs/>
                <w:color w:val="000000"/>
                <w:kern w:val="0"/>
                <w:sz w:val="24"/>
              </w:rPr>
              <w:t>预算安排</w:t>
            </w:r>
          </w:p>
        </w:tc>
      </w:tr>
      <w:tr>
        <w:tblPrEx>
          <w:tblCellMar>
            <w:top w:w="0" w:type="dxa"/>
            <w:left w:w="108" w:type="dxa"/>
            <w:bottom w:w="0" w:type="dxa"/>
            <w:right w:w="108" w:type="dxa"/>
          </w:tblCellMar>
        </w:tblPrEx>
        <w:trPr>
          <w:trHeight w:val="585" w:hRule="atLeast"/>
        </w:trPr>
        <w:tc>
          <w:tcPr>
            <w:tcW w:w="3119"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社会保险基金预算收入总计</w:t>
            </w:r>
          </w:p>
        </w:tc>
        <w:tc>
          <w:tcPr>
            <w:tcW w:w="1560" w:type="dxa"/>
            <w:gridSpan w:val="2"/>
            <w:tcBorders>
              <w:top w:val="nil"/>
              <w:left w:val="nil"/>
              <w:bottom w:val="single" w:color="auto" w:sz="4" w:space="0"/>
              <w:right w:val="single" w:color="auto" w:sz="4" w:space="0"/>
            </w:tcBorders>
            <w:vAlign w:val="center"/>
          </w:tcPr>
          <w:p>
            <w:pPr>
              <w:widowControl/>
              <w:jc w:val="center"/>
              <w:rPr>
                <w:rFonts w:ascii="仿宋" w:hAnsi="仿宋" w:eastAsia="仿宋"/>
                <w:b/>
                <w:bCs/>
                <w:color w:val="000000"/>
                <w:kern w:val="0"/>
                <w:sz w:val="24"/>
              </w:rPr>
            </w:pPr>
            <w:r>
              <w:rPr>
                <w:rFonts w:hint="eastAsia" w:ascii="仿宋" w:hAnsi="仿宋" w:eastAsia="仿宋"/>
                <w:b/>
                <w:bCs/>
                <w:color w:val="000000"/>
                <w:kern w:val="0"/>
                <w:sz w:val="24"/>
              </w:rPr>
              <w:t>13524</w:t>
            </w:r>
          </w:p>
        </w:tc>
        <w:tc>
          <w:tcPr>
            <w:tcW w:w="3118" w:type="dxa"/>
            <w:tcBorders>
              <w:top w:val="nil"/>
              <w:left w:val="nil"/>
              <w:bottom w:val="single" w:color="auto" w:sz="4" w:space="0"/>
              <w:right w:val="single" w:color="auto" w:sz="4" w:space="0"/>
            </w:tcBorders>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社会保险基金预算支出总计</w:t>
            </w:r>
          </w:p>
        </w:tc>
        <w:tc>
          <w:tcPr>
            <w:tcW w:w="1819" w:type="dxa"/>
            <w:gridSpan w:val="2"/>
            <w:tcBorders>
              <w:top w:val="nil"/>
              <w:left w:val="nil"/>
              <w:bottom w:val="single" w:color="auto" w:sz="4" w:space="0"/>
              <w:right w:val="single" w:color="auto" w:sz="4" w:space="0"/>
            </w:tcBorders>
            <w:vAlign w:val="center"/>
          </w:tcPr>
          <w:p>
            <w:pPr>
              <w:widowControl/>
              <w:jc w:val="center"/>
              <w:rPr>
                <w:rFonts w:ascii="仿宋" w:hAnsi="仿宋" w:eastAsia="仿宋"/>
                <w:b/>
                <w:bCs/>
                <w:color w:val="000000"/>
                <w:kern w:val="0"/>
                <w:sz w:val="24"/>
              </w:rPr>
            </w:pPr>
            <w:r>
              <w:rPr>
                <w:rFonts w:hint="eastAsia" w:ascii="仿宋" w:hAnsi="仿宋" w:eastAsia="仿宋"/>
                <w:b/>
                <w:bCs/>
                <w:color w:val="000000"/>
                <w:kern w:val="0"/>
                <w:sz w:val="24"/>
              </w:rPr>
              <w:t>13524</w:t>
            </w:r>
          </w:p>
        </w:tc>
      </w:tr>
      <w:tr>
        <w:tblPrEx>
          <w:tblCellMar>
            <w:top w:w="0" w:type="dxa"/>
            <w:left w:w="108" w:type="dxa"/>
            <w:bottom w:w="0" w:type="dxa"/>
            <w:right w:w="108" w:type="dxa"/>
          </w:tblCellMar>
        </w:tblPrEx>
        <w:trPr>
          <w:trHeight w:val="799" w:hRule="atLeast"/>
        </w:trPr>
        <w:tc>
          <w:tcPr>
            <w:tcW w:w="3119" w:type="dxa"/>
            <w:tcBorders>
              <w:top w:val="nil"/>
              <w:left w:val="single" w:color="auto" w:sz="4" w:space="0"/>
              <w:bottom w:val="single" w:color="auto" w:sz="4" w:space="0"/>
              <w:right w:val="single" w:color="auto" w:sz="4" w:space="0"/>
            </w:tcBorders>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一、社会保险基金收入</w:t>
            </w:r>
          </w:p>
        </w:tc>
        <w:tc>
          <w:tcPr>
            <w:tcW w:w="1560" w:type="dxa"/>
            <w:gridSpan w:val="2"/>
            <w:tcBorders>
              <w:top w:val="nil"/>
              <w:left w:val="nil"/>
              <w:bottom w:val="single" w:color="auto" w:sz="4" w:space="0"/>
              <w:right w:val="single" w:color="auto" w:sz="4" w:space="0"/>
            </w:tcBorders>
            <w:vAlign w:val="center"/>
          </w:tcPr>
          <w:p>
            <w:pPr>
              <w:widowControl/>
              <w:jc w:val="right"/>
              <w:rPr>
                <w:rFonts w:ascii="仿宋" w:hAnsi="仿宋" w:eastAsia="仿宋"/>
                <w:color w:val="000000"/>
                <w:kern w:val="0"/>
                <w:sz w:val="24"/>
              </w:rPr>
            </w:pPr>
            <w:r>
              <w:rPr>
                <w:rFonts w:hint="eastAsia" w:ascii="仿宋" w:hAnsi="仿宋" w:eastAsia="仿宋"/>
                <w:color w:val="000000"/>
                <w:kern w:val="0"/>
                <w:sz w:val="24"/>
              </w:rPr>
              <w:t>6</w:t>
            </w:r>
            <w:r>
              <w:rPr>
                <w:rFonts w:hint="eastAsia" w:ascii="仿宋_GB2312" w:hAnsi="宋体" w:eastAsia="仿宋_GB2312" w:cs="宋体"/>
                <w:color w:val="000000"/>
                <w:kern w:val="0"/>
                <w:sz w:val="24"/>
              </w:rPr>
              <w:t>,</w:t>
            </w:r>
            <w:r>
              <w:rPr>
                <w:rFonts w:hint="eastAsia" w:ascii="仿宋" w:hAnsi="仿宋" w:eastAsia="仿宋"/>
                <w:color w:val="000000"/>
                <w:kern w:val="0"/>
                <w:sz w:val="24"/>
              </w:rPr>
              <w:t>314</w:t>
            </w:r>
            <w:r>
              <w:rPr>
                <w:rFonts w:ascii="仿宋" w:hAnsi="仿宋" w:eastAsia="仿宋"/>
                <w:color w:val="000000"/>
                <w:kern w:val="0"/>
                <w:sz w:val="24"/>
              </w:rPr>
              <w:t xml:space="preserve"> </w:t>
            </w:r>
          </w:p>
        </w:tc>
        <w:tc>
          <w:tcPr>
            <w:tcW w:w="3118" w:type="dxa"/>
            <w:tcBorders>
              <w:top w:val="nil"/>
              <w:left w:val="nil"/>
              <w:bottom w:val="single" w:color="auto" w:sz="4" w:space="0"/>
              <w:right w:val="single" w:color="auto" w:sz="4" w:space="0"/>
            </w:tcBorders>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一、社会保险基金支出</w:t>
            </w:r>
          </w:p>
        </w:tc>
        <w:tc>
          <w:tcPr>
            <w:tcW w:w="1819" w:type="dxa"/>
            <w:gridSpan w:val="2"/>
            <w:tcBorders>
              <w:top w:val="nil"/>
              <w:left w:val="nil"/>
              <w:bottom w:val="single" w:color="auto" w:sz="4" w:space="0"/>
              <w:right w:val="single" w:color="auto" w:sz="4" w:space="0"/>
            </w:tcBorders>
            <w:vAlign w:val="center"/>
          </w:tcPr>
          <w:p>
            <w:pPr>
              <w:widowControl/>
              <w:jc w:val="right"/>
              <w:rPr>
                <w:rFonts w:ascii="仿宋" w:hAnsi="仿宋" w:eastAsia="仿宋"/>
                <w:color w:val="000000"/>
                <w:kern w:val="0"/>
                <w:sz w:val="24"/>
              </w:rPr>
            </w:pPr>
            <w:r>
              <w:rPr>
                <w:rFonts w:hint="eastAsia" w:ascii="仿宋" w:hAnsi="仿宋" w:eastAsia="仿宋"/>
                <w:color w:val="000000"/>
                <w:kern w:val="0"/>
                <w:sz w:val="24"/>
              </w:rPr>
              <w:t>796</w:t>
            </w:r>
            <w:r>
              <w:rPr>
                <w:rFonts w:ascii="仿宋" w:hAnsi="仿宋" w:eastAsia="仿宋"/>
                <w:color w:val="000000"/>
                <w:kern w:val="0"/>
                <w:sz w:val="24"/>
              </w:rPr>
              <w:t xml:space="preserve"> </w:t>
            </w:r>
          </w:p>
        </w:tc>
      </w:tr>
      <w:tr>
        <w:tblPrEx>
          <w:tblCellMar>
            <w:top w:w="0" w:type="dxa"/>
            <w:left w:w="108" w:type="dxa"/>
            <w:bottom w:w="0" w:type="dxa"/>
            <w:right w:w="108" w:type="dxa"/>
          </w:tblCellMar>
        </w:tblPrEx>
        <w:trPr>
          <w:trHeight w:val="799" w:hRule="atLeast"/>
        </w:trPr>
        <w:tc>
          <w:tcPr>
            <w:tcW w:w="3119" w:type="dxa"/>
            <w:tcBorders>
              <w:top w:val="nil"/>
              <w:left w:val="single" w:color="auto" w:sz="4" w:space="0"/>
              <w:bottom w:val="single" w:color="auto" w:sz="4" w:space="0"/>
              <w:right w:val="single" w:color="auto" w:sz="4" w:space="0"/>
            </w:tcBorders>
            <w:vAlign w:val="center"/>
          </w:tcPr>
          <w:p>
            <w:pPr>
              <w:widowControl/>
              <w:ind w:firstLine="240" w:firstLineChars="100"/>
              <w:jc w:val="left"/>
              <w:rPr>
                <w:rFonts w:ascii="仿宋" w:hAnsi="仿宋" w:eastAsia="仿宋" w:cs="宋体"/>
                <w:color w:val="000000"/>
                <w:kern w:val="0"/>
                <w:sz w:val="24"/>
              </w:rPr>
            </w:pPr>
            <w:r>
              <w:rPr>
                <w:rFonts w:hint="eastAsia" w:ascii="仿宋" w:hAnsi="仿宋" w:eastAsia="仿宋" w:cs="宋体"/>
                <w:color w:val="000000"/>
                <w:kern w:val="0"/>
                <w:sz w:val="24"/>
              </w:rPr>
              <w:t>（一）职工基本医疗保险基金收入</w:t>
            </w:r>
          </w:p>
        </w:tc>
        <w:tc>
          <w:tcPr>
            <w:tcW w:w="1560" w:type="dxa"/>
            <w:gridSpan w:val="2"/>
            <w:tcBorders>
              <w:top w:val="nil"/>
              <w:left w:val="nil"/>
              <w:bottom w:val="single" w:color="auto" w:sz="4" w:space="0"/>
              <w:right w:val="single" w:color="auto" w:sz="4" w:space="0"/>
            </w:tcBorders>
            <w:vAlign w:val="center"/>
          </w:tcPr>
          <w:p>
            <w:pPr>
              <w:widowControl/>
              <w:jc w:val="right"/>
              <w:rPr>
                <w:rFonts w:ascii="仿宋" w:hAnsi="仿宋" w:eastAsia="仿宋"/>
                <w:color w:val="000000"/>
                <w:kern w:val="0"/>
                <w:sz w:val="24"/>
              </w:rPr>
            </w:pPr>
            <w:r>
              <w:rPr>
                <w:rFonts w:hint="eastAsia" w:ascii="仿宋" w:hAnsi="仿宋" w:eastAsia="仿宋"/>
                <w:color w:val="000000"/>
                <w:kern w:val="0"/>
                <w:sz w:val="24"/>
              </w:rPr>
              <w:t>5</w:t>
            </w:r>
            <w:r>
              <w:rPr>
                <w:rFonts w:hint="eastAsia" w:ascii="仿宋_GB2312" w:hAnsi="宋体" w:eastAsia="仿宋_GB2312" w:cs="宋体"/>
                <w:color w:val="000000"/>
                <w:kern w:val="0"/>
                <w:sz w:val="24"/>
              </w:rPr>
              <w:t>,</w:t>
            </w:r>
            <w:r>
              <w:rPr>
                <w:rFonts w:hint="eastAsia" w:ascii="仿宋" w:hAnsi="仿宋" w:eastAsia="仿宋"/>
                <w:color w:val="000000"/>
                <w:kern w:val="0"/>
                <w:sz w:val="24"/>
              </w:rPr>
              <w:t>886</w:t>
            </w:r>
          </w:p>
        </w:tc>
        <w:tc>
          <w:tcPr>
            <w:tcW w:w="3118" w:type="dxa"/>
            <w:tcBorders>
              <w:top w:val="nil"/>
              <w:left w:val="nil"/>
              <w:bottom w:val="single" w:color="auto" w:sz="4" w:space="0"/>
              <w:right w:val="single" w:color="auto" w:sz="4" w:space="0"/>
            </w:tcBorders>
            <w:vAlign w:val="center"/>
          </w:tcPr>
          <w:p>
            <w:pPr>
              <w:widowControl/>
              <w:ind w:firstLine="240" w:firstLineChars="100"/>
              <w:jc w:val="left"/>
              <w:rPr>
                <w:rFonts w:ascii="仿宋" w:hAnsi="仿宋" w:eastAsia="仿宋" w:cs="宋体"/>
                <w:color w:val="000000"/>
                <w:kern w:val="0"/>
                <w:sz w:val="24"/>
              </w:rPr>
            </w:pPr>
            <w:r>
              <w:rPr>
                <w:rFonts w:hint="eastAsia" w:ascii="仿宋" w:hAnsi="仿宋" w:eastAsia="仿宋" w:cs="宋体"/>
                <w:color w:val="000000"/>
                <w:kern w:val="0"/>
                <w:sz w:val="24"/>
              </w:rPr>
              <w:t>（一）职工基本医疗保险基金支出</w:t>
            </w:r>
          </w:p>
        </w:tc>
        <w:tc>
          <w:tcPr>
            <w:tcW w:w="1819" w:type="dxa"/>
            <w:gridSpan w:val="2"/>
            <w:tcBorders>
              <w:top w:val="nil"/>
              <w:left w:val="nil"/>
              <w:bottom w:val="single" w:color="auto" w:sz="4" w:space="0"/>
              <w:right w:val="single" w:color="auto" w:sz="4" w:space="0"/>
            </w:tcBorders>
            <w:vAlign w:val="center"/>
          </w:tcPr>
          <w:p>
            <w:pPr>
              <w:widowControl/>
              <w:jc w:val="right"/>
              <w:rPr>
                <w:rFonts w:ascii="仿宋" w:hAnsi="仿宋" w:eastAsia="仿宋"/>
                <w:color w:val="000000"/>
                <w:kern w:val="0"/>
                <w:sz w:val="24"/>
              </w:rPr>
            </w:pPr>
            <w:r>
              <w:rPr>
                <w:rFonts w:hint="eastAsia" w:ascii="仿宋" w:hAnsi="仿宋" w:eastAsia="仿宋"/>
                <w:color w:val="000000"/>
                <w:kern w:val="0"/>
                <w:sz w:val="24"/>
              </w:rPr>
              <w:t>771</w:t>
            </w:r>
            <w:r>
              <w:rPr>
                <w:rFonts w:ascii="仿宋" w:hAnsi="仿宋" w:eastAsia="仿宋"/>
                <w:color w:val="000000"/>
                <w:kern w:val="0"/>
                <w:sz w:val="24"/>
              </w:rPr>
              <w:t xml:space="preserve"> </w:t>
            </w:r>
          </w:p>
        </w:tc>
      </w:tr>
      <w:tr>
        <w:tblPrEx>
          <w:tblCellMar>
            <w:top w:w="0" w:type="dxa"/>
            <w:left w:w="108" w:type="dxa"/>
            <w:bottom w:w="0" w:type="dxa"/>
            <w:right w:w="108" w:type="dxa"/>
          </w:tblCellMar>
        </w:tblPrEx>
        <w:trPr>
          <w:trHeight w:val="799" w:hRule="atLeast"/>
        </w:trPr>
        <w:tc>
          <w:tcPr>
            <w:tcW w:w="3119" w:type="dxa"/>
            <w:tcBorders>
              <w:top w:val="nil"/>
              <w:left w:val="single" w:color="auto" w:sz="4" w:space="0"/>
              <w:bottom w:val="single" w:color="auto" w:sz="4" w:space="0"/>
              <w:right w:val="single" w:color="auto" w:sz="4" w:space="0"/>
            </w:tcBorders>
            <w:vAlign w:val="center"/>
          </w:tcPr>
          <w:p>
            <w:pPr>
              <w:widowControl/>
              <w:ind w:firstLine="240" w:firstLineChars="100"/>
              <w:jc w:val="left"/>
              <w:rPr>
                <w:rFonts w:ascii="仿宋" w:hAnsi="仿宋" w:eastAsia="仿宋" w:cs="宋体"/>
                <w:color w:val="000000"/>
                <w:kern w:val="0"/>
                <w:sz w:val="24"/>
              </w:rPr>
            </w:pPr>
            <w:r>
              <w:rPr>
                <w:rFonts w:hint="eastAsia" w:ascii="仿宋" w:hAnsi="仿宋" w:eastAsia="仿宋" w:cs="宋体"/>
                <w:color w:val="000000"/>
                <w:kern w:val="0"/>
                <w:sz w:val="24"/>
              </w:rPr>
              <w:t>（二）机关事业单位基本养老保险基金收入</w:t>
            </w:r>
          </w:p>
        </w:tc>
        <w:tc>
          <w:tcPr>
            <w:tcW w:w="1560" w:type="dxa"/>
            <w:gridSpan w:val="2"/>
            <w:tcBorders>
              <w:top w:val="nil"/>
              <w:left w:val="nil"/>
              <w:bottom w:val="single" w:color="auto" w:sz="4" w:space="0"/>
              <w:right w:val="single" w:color="auto" w:sz="4" w:space="0"/>
            </w:tcBorders>
            <w:vAlign w:val="center"/>
          </w:tcPr>
          <w:p>
            <w:pPr>
              <w:widowControl/>
              <w:jc w:val="right"/>
              <w:rPr>
                <w:rFonts w:ascii="仿宋" w:hAnsi="仿宋" w:eastAsia="仿宋"/>
                <w:color w:val="000000"/>
                <w:kern w:val="0"/>
                <w:sz w:val="24"/>
              </w:rPr>
            </w:pPr>
            <w:r>
              <w:rPr>
                <w:rFonts w:hint="eastAsia" w:ascii="仿宋" w:hAnsi="仿宋" w:eastAsia="仿宋"/>
                <w:color w:val="000000"/>
                <w:kern w:val="0"/>
                <w:sz w:val="24"/>
              </w:rPr>
              <w:t>428</w:t>
            </w:r>
            <w:r>
              <w:rPr>
                <w:rFonts w:ascii="仿宋" w:hAnsi="仿宋" w:eastAsia="仿宋"/>
                <w:color w:val="000000"/>
                <w:kern w:val="0"/>
                <w:sz w:val="24"/>
              </w:rPr>
              <w:t xml:space="preserve"> </w:t>
            </w:r>
          </w:p>
        </w:tc>
        <w:tc>
          <w:tcPr>
            <w:tcW w:w="3118" w:type="dxa"/>
            <w:tcBorders>
              <w:top w:val="nil"/>
              <w:left w:val="nil"/>
              <w:bottom w:val="single" w:color="auto" w:sz="4" w:space="0"/>
              <w:right w:val="single" w:color="auto" w:sz="4" w:space="0"/>
            </w:tcBorders>
            <w:vAlign w:val="center"/>
          </w:tcPr>
          <w:p>
            <w:pPr>
              <w:widowControl/>
              <w:ind w:firstLine="240" w:firstLineChars="100"/>
              <w:jc w:val="left"/>
              <w:rPr>
                <w:rFonts w:ascii="仿宋" w:hAnsi="仿宋" w:eastAsia="仿宋" w:cs="宋体"/>
                <w:color w:val="000000"/>
                <w:kern w:val="0"/>
                <w:sz w:val="24"/>
              </w:rPr>
            </w:pPr>
            <w:r>
              <w:rPr>
                <w:rFonts w:hint="eastAsia" w:ascii="仿宋" w:hAnsi="仿宋" w:eastAsia="仿宋" w:cs="宋体"/>
                <w:color w:val="000000"/>
                <w:kern w:val="0"/>
                <w:sz w:val="24"/>
              </w:rPr>
              <w:t>（二）机关事业单位基本养老保险基金支出</w:t>
            </w:r>
          </w:p>
        </w:tc>
        <w:tc>
          <w:tcPr>
            <w:tcW w:w="1819" w:type="dxa"/>
            <w:gridSpan w:val="2"/>
            <w:tcBorders>
              <w:top w:val="nil"/>
              <w:left w:val="nil"/>
              <w:bottom w:val="single" w:color="auto" w:sz="4" w:space="0"/>
              <w:right w:val="single" w:color="auto" w:sz="4" w:space="0"/>
            </w:tcBorders>
            <w:vAlign w:val="center"/>
          </w:tcPr>
          <w:p>
            <w:pPr>
              <w:widowControl/>
              <w:jc w:val="right"/>
              <w:rPr>
                <w:rFonts w:ascii="仿宋" w:hAnsi="仿宋" w:eastAsia="仿宋"/>
                <w:color w:val="000000"/>
                <w:kern w:val="0"/>
                <w:sz w:val="24"/>
              </w:rPr>
            </w:pPr>
            <w:r>
              <w:rPr>
                <w:rFonts w:hint="eastAsia" w:ascii="仿宋" w:hAnsi="仿宋" w:eastAsia="仿宋"/>
                <w:color w:val="000000"/>
                <w:kern w:val="0"/>
                <w:sz w:val="24"/>
              </w:rPr>
              <w:t>25</w:t>
            </w:r>
            <w:r>
              <w:rPr>
                <w:rFonts w:ascii="仿宋" w:hAnsi="仿宋" w:eastAsia="仿宋"/>
                <w:color w:val="000000"/>
                <w:kern w:val="0"/>
                <w:sz w:val="24"/>
              </w:rPr>
              <w:t xml:space="preserve"> </w:t>
            </w:r>
          </w:p>
        </w:tc>
      </w:tr>
      <w:tr>
        <w:tblPrEx>
          <w:tblCellMar>
            <w:top w:w="0" w:type="dxa"/>
            <w:left w:w="108" w:type="dxa"/>
            <w:bottom w:w="0" w:type="dxa"/>
            <w:right w:w="108" w:type="dxa"/>
          </w:tblCellMar>
        </w:tblPrEx>
        <w:trPr>
          <w:trHeight w:val="799" w:hRule="atLeast"/>
        </w:trPr>
        <w:tc>
          <w:tcPr>
            <w:tcW w:w="3119" w:type="dxa"/>
            <w:tcBorders>
              <w:top w:val="nil"/>
              <w:left w:val="single" w:color="auto" w:sz="4" w:space="0"/>
              <w:bottom w:val="single" w:color="auto" w:sz="4" w:space="0"/>
              <w:right w:val="single" w:color="auto" w:sz="4" w:space="0"/>
            </w:tcBorders>
            <w:vAlign w:val="center"/>
          </w:tcPr>
          <w:p>
            <w:pPr>
              <w:widowControl/>
              <w:ind w:firstLine="240" w:firstLineChars="100"/>
              <w:jc w:val="left"/>
              <w:rPr>
                <w:rFonts w:ascii="仿宋" w:hAnsi="仿宋" w:eastAsia="仿宋" w:cs="宋体"/>
                <w:color w:val="000000"/>
                <w:kern w:val="0"/>
                <w:sz w:val="24"/>
              </w:rPr>
            </w:pPr>
            <w:r>
              <w:rPr>
                <w:rFonts w:hint="eastAsia" w:ascii="仿宋" w:hAnsi="仿宋" w:eastAsia="仿宋" w:cs="宋体"/>
                <w:color w:val="000000"/>
                <w:kern w:val="0"/>
                <w:sz w:val="24"/>
              </w:rPr>
              <w:t>二、转移性收入</w:t>
            </w:r>
          </w:p>
        </w:tc>
        <w:tc>
          <w:tcPr>
            <w:tcW w:w="1560" w:type="dxa"/>
            <w:gridSpan w:val="2"/>
            <w:tcBorders>
              <w:top w:val="nil"/>
              <w:left w:val="nil"/>
              <w:bottom w:val="single" w:color="auto" w:sz="4" w:space="0"/>
              <w:right w:val="single" w:color="auto" w:sz="4" w:space="0"/>
            </w:tcBorders>
            <w:vAlign w:val="center"/>
          </w:tcPr>
          <w:p>
            <w:pPr>
              <w:widowControl/>
              <w:jc w:val="right"/>
              <w:rPr>
                <w:rFonts w:ascii="仿宋" w:hAnsi="仿宋" w:eastAsia="仿宋"/>
                <w:color w:val="000000"/>
                <w:kern w:val="0"/>
                <w:sz w:val="24"/>
              </w:rPr>
            </w:pPr>
            <w:r>
              <w:rPr>
                <w:rFonts w:hint="eastAsia" w:ascii="仿宋" w:hAnsi="仿宋" w:eastAsia="仿宋"/>
                <w:color w:val="000000"/>
                <w:kern w:val="0"/>
                <w:sz w:val="24"/>
              </w:rPr>
              <w:t>7</w:t>
            </w:r>
            <w:r>
              <w:rPr>
                <w:rFonts w:hint="eastAsia" w:ascii="仿宋_GB2312" w:hAnsi="宋体" w:eastAsia="仿宋_GB2312" w:cs="宋体"/>
                <w:color w:val="000000"/>
                <w:kern w:val="0"/>
                <w:sz w:val="24"/>
              </w:rPr>
              <w:t>,</w:t>
            </w:r>
            <w:r>
              <w:rPr>
                <w:rFonts w:hint="eastAsia" w:ascii="仿宋" w:hAnsi="仿宋" w:eastAsia="仿宋"/>
                <w:color w:val="000000"/>
                <w:kern w:val="0"/>
                <w:sz w:val="24"/>
              </w:rPr>
              <w:t>210</w:t>
            </w:r>
          </w:p>
        </w:tc>
        <w:tc>
          <w:tcPr>
            <w:tcW w:w="3118" w:type="dxa"/>
            <w:tcBorders>
              <w:top w:val="nil"/>
              <w:left w:val="nil"/>
              <w:bottom w:val="single" w:color="auto" w:sz="4" w:space="0"/>
              <w:right w:val="single" w:color="auto" w:sz="4" w:space="0"/>
            </w:tcBorders>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二、转移性支出</w:t>
            </w:r>
          </w:p>
        </w:tc>
        <w:tc>
          <w:tcPr>
            <w:tcW w:w="1819" w:type="dxa"/>
            <w:gridSpan w:val="2"/>
            <w:tcBorders>
              <w:top w:val="nil"/>
              <w:left w:val="nil"/>
              <w:bottom w:val="single" w:color="auto" w:sz="4" w:space="0"/>
              <w:right w:val="single" w:color="auto" w:sz="4" w:space="0"/>
            </w:tcBorders>
            <w:vAlign w:val="center"/>
          </w:tcPr>
          <w:p>
            <w:pPr>
              <w:widowControl/>
              <w:jc w:val="right"/>
              <w:rPr>
                <w:rFonts w:ascii="仿宋" w:hAnsi="仿宋" w:eastAsia="仿宋"/>
                <w:color w:val="000000"/>
                <w:kern w:val="0"/>
                <w:sz w:val="24"/>
              </w:rPr>
            </w:pPr>
            <w:r>
              <w:rPr>
                <w:rFonts w:hint="eastAsia" w:ascii="仿宋" w:hAnsi="仿宋" w:eastAsia="仿宋"/>
                <w:color w:val="000000"/>
                <w:kern w:val="0"/>
                <w:sz w:val="24"/>
              </w:rPr>
              <w:t>12</w:t>
            </w:r>
            <w:r>
              <w:rPr>
                <w:rFonts w:hint="eastAsia" w:ascii="仿宋_GB2312" w:hAnsi="宋体" w:eastAsia="仿宋_GB2312" w:cs="宋体"/>
                <w:color w:val="000000"/>
                <w:kern w:val="0"/>
                <w:sz w:val="24"/>
              </w:rPr>
              <w:t>,</w:t>
            </w:r>
            <w:r>
              <w:rPr>
                <w:rFonts w:hint="eastAsia" w:ascii="仿宋" w:hAnsi="仿宋" w:eastAsia="仿宋"/>
                <w:color w:val="000000"/>
                <w:kern w:val="0"/>
                <w:sz w:val="24"/>
              </w:rPr>
              <w:t>728</w:t>
            </w:r>
            <w:r>
              <w:rPr>
                <w:rFonts w:ascii="仿宋" w:hAnsi="仿宋" w:eastAsia="仿宋"/>
                <w:color w:val="000000"/>
                <w:kern w:val="0"/>
                <w:sz w:val="24"/>
              </w:rPr>
              <w:t xml:space="preserve"> </w:t>
            </w:r>
          </w:p>
        </w:tc>
      </w:tr>
      <w:tr>
        <w:tblPrEx>
          <w:tblCellMar>
            <w:top w:w="0" w:type="dxa"/>
            <w:left w:w="108" w:type="dxa"/>
            <w:bottom w:w="0" w:type="dxa"/>
            <w:right w:w="108" w:type="dxa"/>
          </w:tblCellMar>
        </w:tblPrEx>
        <w:trPr>
          <w:trHeight w:val="799" w:hRule="atLeast"/>
        </w:trPr>
        <w:tc>
          <w:tcPr>
            <w:tcW w:w="3119" w:type="dxa"/>
            <w:tcBorders>
              <w:top w:val="nil"/>
              <w:left w:val="single" w:color="auto" w:sz="4" w:space="0"/>
              <w:bottom w:val="single" w:color="auto" w:sz="4" w:space="0"/>
              <w:right w:val="single" w:color="auto" w:sz="4" w:space="0"/>
            </w:tcBorders>
            <w:vAlign w:val="center"/>
          </w:tcPr>
          <w:p>
            <w:pPr>
              <w:widowControl/>
              <w:ind w:firstLine="240" w:firstLineChars="100"/>
              <w:jc w:val="left"/>
              <w:rPr>
                <w:rFonts w:ascii="仿宋" w:hAnsi="仿宋" w:eastAsia="仿宋" w:cs="宋体"/>
                <w:color w:val="000000"/>
                <w:kern w:val="0"/>
                <w:sz w:val="24"/>
              </w:rPr>
            </w:pPr>
            <w:r>
              <w:rPr>
                <w:rFonts w:hint="eastAsia" w:ascii="仿宋" w:hAnsi="仿宋" w:eastAsia="仿宋" w:cs="宋体"/>
                <w:color w:val="000000"/>
                <w:kern w:val="0"/>
                <w:sz w:val="24"/>
              </w:rPr>
              <w:t>　（一）上年结余收入</w:t>
            </w:r>
          </w:p>
        </w:tc>
        <w:tc>
          <w:tcPr>
            <w:tcW w:w="1560" w:type="dxa"/>
            <w:gridSpan w:val="2"/>
            <w:tcBorders>
              <w:top w:val="nil"/>
              <w:left w:val="nil"/>
              <w:bottom w:val="single" w:color="auto" w:sz="4" w:space="0"/>
              <w:right w:val="single" w:color="auto" w:sz="4" w:space="0"/>
            </w:tcBorders>
            <w:vAlign w:val="center"/>
          </w:tcPr>
          <w:p>
            <w:pPr>
              <w:widowControl/>
              <w:jc w:val="right"/>
              <w:rPr>
                <w:rFonts w:ascii="仿宋" w:hAnsi="仿宋" w:eastAsia="仿宋"/>
                <w:color w:val="000000"/>
                <w:kern w:val="0"/>
                <w:sz w:val="24"/>
              </w:rPr>
            </w:pPr>
            <w:r>
              <w:rPr>
                <w:rFonts w:hint="eastAsia" w:ascii="仿宋" w:hAnsi="仿宋" w:eastAsia="仿宋"/>
                <w:color w:val="000000"/>
                <w:kern w:val="0"/>
                <w:sz w:val="24"/>
              </w:rPr>
              <w:t>　7</w:t>
            </w:r>
            <w:r>
              <w:rPr>
                <w:rFonts w:hint="eastAsia" w:ascii="仿宋_GB2312" w:hAnsi="宋体" w:eastAsia="仿宋_GB2312" w:cs="宋体"/>
                <w:color w:val="000000"/>
                <w:kern w:val="0"/>
                <w:sz w:val="24"/>
              </w:rPr>
              <w:t>,</w:t>
            </w:r>
            <w:r>
              <w:rPr>
                <w:rFonts w:hint="eastAsia" w:ascii="仿宋" w:hAnsi="仿宋" w:eastAsia="仿宋"/>
                <w:color w:val="000000"/>
                <w:kern w:val="0"/>
                <w:sz w:val="24"/>
              </w:rPr>
              <w:t>207</w:t>
            </w:r>
          </w:p>
        </w:tc>
        <w:tc>
          <w:tcPr>
            <w:tcW w:w="3118" w:type="dxa"/>
            <w:tcBorders>
              <w:top w:val="nil"/>
              <w:left w:val="nil"/>
              <w:bottom w:val="single" w:color="auto" w:sz="4" w:space="0"/>
              <w:right w:val="single" w:color="auto" w:sz="4" w:space="0"/>
            </w:tcBorders>
            <w:vAlign w:val="center"/>
          </w:tcPr>
          <w:p>
            <w:pPr>
              <w:widowControl/>
              <w:ind w:firstLine="240" w:firstLineChars="100"/>
              <w:jc w:val="left"/>
              <w:rPr>
                <w:rFonts w:ascii="仿宋" w:hAnsi="仿宋" w:eastAsia="仿宋" w:cs="宋体"/>
                <w:color w:val="000000"/>
                <w:kern w:val="0"/>
                <w:sz w:val="24"/>
              </w:rPr>
            </w:pPr>
            <w:r>
              <w:rPr>
                <w:rFonts w:hint="eastAsia" w:ascii="仿宋" w:hAnsi="仿宋" w:eastAsia="仿宋" w:cs="宋体"/>
                <w:color w:val="000000"/>
                <w:kern w:val="0"/>
                <w:sz w:val="24"/>
              </w:rPr>
              <w:t>（一）年终结余</w:t>
            </w:r>
          </w:p>
        </w:tc>
        <w:tc>
          <w:tcPr>
            <w:tcW w:w="1819" w:type="dxa"/>
            <w:gridSpan w:val="2"/>
            <w:tcBorders>
              <w:top w:val="nil"/>
              <w:left w:val="nil"/>
              <w:bottom w:val="single" w:color="auto" w:sz="4" w:space="0"/>
              <w:right w:val="single" w:color="auto" w:sz="4" w:space="0"/>
            </w:tcBorders>
            <w:vAlign w:val="center"/>
          </w:tcPr>
          <w:p>
            <w:pPr>
              <w:widowControl/>
              <w:jc w:val="right"/>
              <w:rPr>
                <w:rFonts w:ascii="仿宋" w:hAnsi="仿宋" w:eastAsia="仿宋"/>
                <w:color w:val="000000"/>
                <w:kern w:val="0"/>
                <w:sz w:val="24"/>
              </w:rPr>
            </w:pPr>
            <w:r>
              <w:rPr>
                <w:rFonts w:hint="eastAsia" w:ascii="仿宋" w:hAnsi="仿宋" w:eastAsia="仿宋"/>
                <w:color w:val="000000"/>
                <w:kern w:val="0"/>
                <w:sz w:val="24"/>
              </w:rPr>
              <w:t>12</w:t>
            </w:r>
            <w:r>
              <w:rPr>
                <w:rFonts w:hint="eastAsia" w:ascii="仿宋_GB2312" w:hAnsi="宋体" w:eastAsia="仿宋_GB2312" w:cs="宋体"/>
                <w:color w:val="000000"/>
                <w:kern w:val="0"/>
                <w:sz w:val="24"/>
              </w:rPr>
              <w:t>,</w:t>
            </w:r>
            <w:r>
              <w:rPr>
                <w:rFonts w:hint="eastAsia" w:ascii="仿宋" w:hAnsi="仿宋" w:eastAsia="仿宋"/>
                <w:color w:val="000000"/>
                <w:kern w:val="0"/>
                <w:sz w:val="24"/>
              </w:rPr>
              <w:t>357</w:t>
            </w:r>
            <w:r>
              <w:rPr>
                <w:rFonts w:ascii="仿宋" w:hAnsi="仿宋" w:eastAsia="仿宋"/>
                <w:color w:val="000000"/>
                <w:kern w:val="0"/>
                <w:sz w:val="24"/>
              </w:rPr>
              <w:t xml:space="preserve"> </w:t>
            </w:r>
          </w:p>
        </w:tc>
      </w:tr>
      <w:tr>
        <w:tblPrEx>
          <w:tblCellMar>
            <w:top w:w="0" w:type="dxa"/>
            <w:left w:w="108" w:type="dxa"/>
            <w:bottom w:w="0" w:type="dxa"/>
            <w:right w:w="108" w:type="dxa"/>
          </w:tblCellMar>
        </w:tblPrEx>
        <w:trPr>
          <w:trHeight w:val="799" w:hRule="atLeast"/>
        </w:trPr>
        <w:tc>
          <w:tcPr>
            <w:tcW w:w="3119" w:type="dxa"/>
            <w:tcBorders>
              <w:top w:val="nil"/>
              <w:left w:val="single" w:color="auto" w:sz="4" w:space="0"/>
              <w:bottom w:val="single" w:color="auto" w:sz="4" w:space="0"/>
              <w:right w:val="single" w:color="auto" w:sz="4" w:space="0"/>
            </w:tcBorders>
            <w:vAlign w:val="center"/>
          </w:tcPr>
          <w:p>
            <w:pPr>
              <w:widowControl/>
              <w:ind w:firstLine="240" w:firstLineChars="100"/>
              <w:jc w:val="left"/>
              <w:rPr>
                <w:rFonts w:ascii="仿宋" w:hAnsi="仿宋" w:eastAsia="仿宋" w:cs="宋体"/>
                <w:color w:val="000000"/>
                <w:kern w:val="0"/>
                <w:sz w:val="24"/>
              </w:rPr>
            </w:pPr>
            <w:r>
              <w:rPr>
                <w:rFonts w:hint="eastAsia" w:ascii="仿宋" w:hAnsi="仿宋" w:eastAsia="仿宋" w:cs="宋体"/>
                <w:color w:val="000000"/>
                <w:kern w:val="0"/>
                <w:sz w:val="24"/>
              </w:rPr>
              <w:t>　（二）转移性收入</w:t>
            </w:r>
          </w:p>
        </w:tc>
        <w:tc>
          <w:tcPr>
            <w:tcW w:w="1560" w:type="dxa"/>
            <w:gridSpan w:val="2"/>
            <w:tcBorders>
              <w:top w:val="nil"/>
              <w:left w:val="nil"/>
              <w:bottom w:val="single" w:color="auto" w:sz="4" w:space="0"/>
              <w:right w:val="single" w:color="auto" w:sz="4" w:space="0"/>
            </w:tcBorders>
            <w:vAlign w:val="center"/>
          </w:tcPr>
          <w:p>
            <w:pPr>
              <w:widowControl/>
              <w:ind w:firstLine="720" w:firstLineChars="300"/>
              <w:jc w:val="left"/>
              <w:rPr>
                <w:rFonts w:ascii="仿宋" w:hAnsi="仿宋" w:eastAsia="仿宋"/>
                <w:color w:val="000000"/>
                <w:kern w:val="0"/>
                <w:sz w:val="24"/>
              </w:rPr>
            </w:pPr>
            <w:r>
              <w:rPr>
                <w:rFonts w:hint="eastAsia" w:ascii="仿宋" w:hAnsi="仿宋" w:eastAsia="仿宋"/>
                <w:color w:val="000000"/>
                <w:kern w:val="0"/>
                <w:sz w:val="24"/>
              </w:rPr>
              <w:t>3</w:t>
            </w:r>
          </w:p>
        </w:tc>
        <w:tc>
          <w:tcPr>
            <w:tcW w:w="3118" w:type="dxa"/>
            <w:tcBorders>
              <w:top w:val="nil"/>
              <w:left w:val="nil"/>
              <w:bottom w:val="single" w:color="auto" w:sz="4" w:space="0"/>
              <w:right w:val="single" w:color="auto" w:sz="4" w:space="0"/>
            </w:tcBorders>
            <w:vAlign w:val="center"/>
          </w:tcPr>
          <w:p>
            <w:pPr>
              <w:widowControl/>
              <w:ind w:firstLine="240" w:firstLineChars="100"/>
              <w:jc w:val="left"/>
              <w:rPr>
                <w:rFonts w:ascii="仿宋" w:hAnsi="仿宋" w:eastAsia="仿宋" w:cs="宋体"/>
                <w:color w:val="000000"/>
                <w:kern w:val="0"/>
                <w:sz w:val="24"/>
              </w:rPr>
            </w:pPr>
            <w:r>
              <w:rPr>
                <w:rFonts w:hint="eastAsia" w:ascii="仿宋" w:hAnsi="仿宋" w:eastAsia="仿宋" w:cs="宋体"/>
                <w:color w:val="000000"/>
                <w:kern w:val="0"/>
                <w:sz w:val="24"/>
              </w:rPr>
              <w:t>（二）上解支出</w:t>
            </w:r>
          </w:p>
        </w:tc>
        <w:tc>
          <w:tcPr>
            <w:tcW w:w="1819" w:type="dxa"/>
            <w:gridSpan w:val="2"/>
            <w:tcBorders>
              <w:top w:val="nil"/>
              <w:left w:val="nil"/>
              <w:bottom w:val="single" w:color="auto" w:sz="4" w:space="0"/>
              <w:right w:val="single" w:color="auto" w:sz="4" w:space="0"/>
            </w:tcBorders>
            <w:vAlign w:val="center"/>
          </w:tcPr>
          <w:p>
            <w:pPr>
              <w:widowControl/>
              <w:jc w:val="right"/>
              <w:rPr>
                <w:rFonts w:ascii="仿宋" w:hAnsi="仿宋" w:eastAsia="仿宋"/>
                <w:color w:val="000000"/>
                <w:kern w:val="0"/>
                <w:sz w:val="24"/>
              </w:rPr>
            </w:pPr>
            <w:r>
              <w:rPr>
                <w:rFonts w:hint="eastAsia" w:ascii="仿宋" w:hAnsi="仿宋" w:eastAsia="仿宋"/>
                <w:color w:val="000000"/>
                <w:kern w:val="0"/>
                <w:sz w:val="24"/>
              </w:rPr>
              <w:t>310</w:t>
            </w:r>
            <w:r>
              <w:rPr>
                <w:rFonts w:ascii="仿宋" w:hAnsi="仿宋" w:eastAsia="仿宋"/>
                <w:color w:val="000000"/>
                <w:kern w:val="0"/>
                <w:sz w:val="24"/>
              </w:rPr>
              <w:t xml:space="preserve"> </w:t>
            </w:r>
          </w:p>
        </w:tc>
      </w:tr>
      <w:tr>
        <w:tblPrEx>
          <w:tblCellMar>
            <w:top w:w="0" w:type="dxa"/>
            <w:left w:w="108" w:type="dxa"/>
            <w:bottom w:w="0" w:type="dxa"/>
            <w:right w:w="108" w:type="dxa"/>
          </w:tblCellMar>
        </w:tblPrEx>
        <w:trPr>
          <w:trHeight w:val="799" w:hRule="atLeast"/>
        </w:trPr>
        <w:tc>
          <w:tcPr>
            <w:tcW w:w="3119" w:type="dxa"/>
            <w:tcBorders>
              <w:top w:val="nil"/>
              <w:left w:val="single" w:color="auto" w:sz="4" w:space="0"/>
              <w:bottom w:val="single" w:color="auto" w:sz="4" w:space="0"/>
              <w:right w:val="single" w:color="auto" w:sz="4" w:space="0"/>
            </w:tcBorders>
            <w:vAlign w:val="center"/>
          </w:tcPr>
          <w:p>
            <w:pPr>
              <w:widowControl/>
              <w:ind w:firstLine="240" w:firstLineChars="100"/>
              <w:jc w:val="left"/>
              <w:rPr>
                <w:rFonts w:ascii="仿宋" w:hAnsi="仿宋" w:eastAsia="仿宋" w:cs="宋体"/>
                <w:color w:val="000000"/>
                <w:kern w:val="0"/>
                <w:sz w:val="24"/>
              </w:rPr>
            </w:pPr>
          </w:p>
        </w:tc>
        <w:tc>
          <w:tcPr>
            <w:tcW w:w="1560" w:type="dxa"/>
            <w:gridSpan w:val="2"/>
            <w:tcBorders>
              <w:top w:val="nil"/>
              <w:left w:val="nil"/>
              <w:bottom w:val="single" w:color="auto" w:sz="4" w:space="0"/>
              <w:right w:val="single" w:color="auto" w:sz="4" w:space="0"/>
            </w:tcBorders>
            <w:vAlign w:val="center"/>
          </w:tcPr>
          <w:p>
            <w:pPr>
              <w:widowControl/>
              <w:ind w:firstLine="240" w:firstLineChars="100"/>
              <w:jc w:val="left"/>
              <w:rPr>
                <w:rFonts w:ascii="仿宋" w:hAnsi="仿宋" w:eastAsia="仿宋"/>
                <w:color w:val="000000"/>
                <w:kern w:val="0"/>
                <w:sz w:val="24"/>
              </w:rPr>
            </w:pPr>
            <w:r>
              <w:rPr>
                <w:rFonts w:hint="eastAsia" w:ascii="仿宋" w:hAnsi="仿宋" w:eastAsia="仿宋"/>
                <w:color w:val="000000"/>
                <w:kern w:val="0"/>
                <w:sz w:val="24"/>
              </w:rPr>
              <w:t>　</w:t>
            </w:r>
          </w:p>
        </w:tc>
        <w:tc>
          <w:tcPr>
            <w:tcW w:w="3118" w:type="dxa"/>
            <w:tcBorders>
              <w:top w:val="nil"/>
              <w:left w:val="nil"/>
              <w:bottom w:val="single" w:color="auto" w:sz="4" w:space="0"/>
              <w:right w:val="single" w:color="auto" w:sz="4" w:space="0"/>
            </w:tcBorders>
            <w:vAlign w:val="center"/>
          </w:tcPr>
          <w:p>
            <w:pPr>
              <w:widowControl/>
              <w:ind w:firstLine="240" w:firstLineChars="100"/>
              <w:jc w:val="left"/>
              <w:rPr>
                <w:rFonts w:ascii="仿宋" w:hAnsi="仿宋" w:eastAsia="仿宋" w:cs="宋体"/>
                <w:color w:val="000000"/>
                <w:kern w:val="0"/>
                <w:sz w:val="24"/>
              </w:rPr>
            </w:pPr>
            <w:r>
              <w:rPr>
                <w:rFonts w:hint="eastAsia" w:ascii="仿宋" w:hAnsi="仿宋" w:eastAsia="仿宋" w:cs="宋体"/>
                <w:color w:val="000000"/>
                <w:kern w:val="0"/>
                <w:sz w:val="24"/>
              </w:rPr>
              <w:t>（三）社会保险基金转移支出</w:t>
            </w:r>
          </w:p>
        </w:tc>
        <w:tc>
          <w:tcPr>
            <w:tcW w:w="1819" w:type="dxa"/>
            <w:gridSpan w:val="2"/>
            <w:tcBorders>
              <w:top w:val="nil"/>
              <w:left w:val="nil"/>
              <w:bottom w:val="single" w:color="auto" w:sz="4" w:space="0"/>
              <w:right w:val="single" w:color="auto" w:sz="4" w:space="0"/>
            </w:tcBorders>
            <w:vAlign w:val="center"/>
          </w:tcPr>
          <w:p>
            <w:pPr>
              <w:widowControl/>
              <w:jc w:val="right"/>
              <w:rPr>
                <w:rFonts w:ascii="仿宋" w:hAnsi="仿宋" w:eastAsia="仿宋"/>
                <w:color w:val="000000"/>
                <w:kern w:val="0"/>
                <w:sz w:val="24"/>
              </w:rPr>
            </w:pPr>
            <w:r>
              <w:rPr>
                <w:rFonts w:hint="eastAsia" w:ascii="仿宋" w:hAnsi="仿宋" w:eastAsia="仿宋"/>
                <w:color w:val="000000"/>
                <w:kern w:val="0"/>
                <w:sz w:val="24"/>
              </w:rPr>
              <w:t>61</w:t>
            </w:r>
          </w:p>
        </w:tc>
      </w:tr>
    </w:tbl>
    <w:p>
      <w:pPr>
        <w:spacing w:line="360" w:lineRule="auto"/>
        <w:rPr>
          <w:rFonts w:ascii="仿宋" w:hAnsi="仿宋" w:eastAsia="仿宋"/>
          <w:b/>
          <w:sz w:val="52"/>
          <w:szCs w:val="52"/>
        </w:rPr>
      </w:pPr>
    </w:p>
    <w:p>
      <w:pPr>
        <w:spacing w:line="360" w:lineRule="auto"/>
        <w:rPr>
          <w:rFonts w:ascii="黑体" w:eastAsia="黑体"/>
          <w:b/>
          <w:sz w:val="52"/>
          <w:szCs w:val="52"/>
        </w:rPr>
      </w:pPr>
    </w:p>
    <w:p>
      <w:pPr>
        <w:spacing w:line="360" w:lineRule="auto"/>
        <w:rPr>
          <w:rFonts w:ascii="黑体" w:eastAsia="黑体"/>
          <w:b/>
          <w:sz w:val="52"/>
          <w:szCs w:val="52"/>
        </w:rPr>
      </w:pPr>
    </w:p>
    <w:p>
      <w:pPr>
        <w:spacing w:line="360" w:lineRule="auto"/>
        <w:rPr>
          <w:rFonts w:ascii="仿宋_GB2312" w:eastAsia="仿宋_GB2312"/>
          <w:b/>
          <w:sz w:val="30"/>
          <w:szCs w:val="30"/>
        </w:rPr>
      </w:pPr>
    </w:p>
    <w:tbl>
      <w:tblPr>
        <w:tblStyle w:val="15"/>
        <w:tblW w:w="7938" w:type="dxa"/>
        <w:tblInd w:w="562" w:type="dxa"/>
        <w:tblLayout w:type="fixed"/>
        <w:tblCellMar>
          <w:top w:w="0" w:type="dxa"/>
          <w:left w:w="108" w:type="dxa"/>
          <w:bottom w:w="0" w:type="dxa"/>
          <w:right w:w="108" w:type="dxa"/>
        </w:tblCellMar>
      </w:tblPr>
      <w:tblGrid>
        <w:gridCol w:w="2083"/>
        <w:gridCol w:w="3820"/>
        <w:gridCol w:w="2035"/>
      </w:tblGrid>
      <w:tr>
        <w:tblPrEx>
          <w:tblCellMar>
            <w:top w:w="0" w:type="dxa"/>
            <w:left w:w="108" w:type="dxa"/>
            <w:bottom w:w="0" w:type="dxa"/>
            <w:right w:w="108" w:type="dxa"/>
          </w:tblCellMar>
        </w:tblPrEx>
        <w:trPr>
          <w:trHeight w:val="495" w:hRule="atLeast"/>
        </w:trPr>
        <w:tc>
          <w:tcPr>
            <w:tcW w:w="7938" w:type="dxa"/>
            <w:gridSpan w:val="3"/>
            <w:tcBorders>
              <w:top w:val="nil"/>
              <w:left w:val="nil"/>
              <w:bottom w:val="nil"/>
              <w:right w:val="nil"/>
            </w:tcBorders>
            <w:vAlign w:val="bottom"/>
          </w:tcPr>
          <w:p>
            <w:pPr>
              <w:pStyle w:val="4"/>
              <w:jc w:val="center"/>
              <w:rPr>
                <w:rFonts w:ascii="仿宋_GB2312" w:eastAsia="仿宋_GB2312"/>
                <w:color w:val="000000" w:themeColor="text1"/>
              </w:rPr>
            </w:pPr>
            <w:bookmarkStart w:id="34" w:name="_Toc503275898"/>
            <w:bookmarkStart w:id="35" w:name="_Toc500947607"/>
            <w:bookmarkStart w:id="36" w:name="_Toc60126007"/>
            <w:r>
              <w:rPr>
                <w:rFonts w:hint="eastAsia" w:ascii="仿宋_GB2312" w:eastAsia="仿宋_GB2312"/>
                <w:color w:val="000000" w:themeColor="text1"/>
              </w:rPr>
              <w:t>§</w:t>
            </w:r>
            <w:r>
              <w:rPr>
                <w:rFonts w:ascii="仿宋_GB2312" w:eastAsia="仿宋_GB2312"/>
                <w:color w:val="000000" w:themeColor="text1"/>
              </w:rPr>
              <w:t>3  20</w:t>
            </w:r>
            <w:r>
              <w:rPr>
                <w:rFonts w:hint="eastAsia" w:ascii="仿宋_GB2312" w:eastAsia="仿宋_GB2312"/>
                <w:color w:val="000000" w:themeColor="text1"/>
              </w:rPr>
              <w:t>21年区本级社会保险基金收入预算</w:t>
            </w:r>
            <w:bookmarkEnd w:id="34"/>
            <w:bookmarkEnd w:id="35"/>
            <w:r>
              <w:rPr>
                <w:rFonts w:hint="eastAsia" w:ascii="仿宋_GB2312" w:eastAsia="仿宋_GB2312"/>
                <w:color w:val="000000" w:themeColor="text1"/>
              </w:rPr>
              <w:t>表</w:t>
            </w:r>
            <w:bookmarkEnd w:id="36"/>
          </w:p>
        </w:tc>
      </w:tr>
      <w:tr>
        <w:tblPrEx>
          <w:tblCellMar>
            <w:top w:w="0" w:type="dxa"/>
            <w:left w:w="108" w:type="dxa"/>
            <w:bottom w:w="0" w:type="dxa"/>
            <w:right w:w="108" w:type="dxa"/>
          </w:tblCellMar>
        </w:tblPrEx>
        <w:trPr>
          <w:trHeight w:val="285" w:hRule="atLeast"/>
        </w:trPr>
        <w:tc>
          <w:tcPr>
            <w:tcW w:w="2083" w:type="dxa"/>
            <w:tcBorders>
              <w:top w:val="nil"/>
              <w:left w:val="nil"/>
              <w:bottom w:val="nil"/>
              <w:right w:val="nil"/>
            </w:tcBorders>
            <w:vAlign w:val="bottom"/>
          </w:tcPr>
          <w:p>
            <w:pPr>
              <w:widowControl/>
              <w:jc w:val="left"/>
              <w:rPr>
                <w:rFonts w:ascii="仿宋" w:hAnsi="仿宋" w:eastAsia="仿宋" w:cs="宋体"/>
                <w:kern w:val="0"/>
                <w:sz w:val="24"/>
              </w:rPr>
            </w:pPr>
          </w:p>
        </w:tc>
        <w:tc>
          <w:tcPr>
            <w:tcW w:w="3820" w:type="dxa"/>
            <w:tcBorders>
              <w:top w:val="nil"/>
              <w:left w:val="nil"/>
              <w:bottom w:val="nil"/>
              <w:right w:val="nil"/>
            </w:tcBorders>
            <w:vAlign w:val="bottom"/>
          </w:tcPr>
          <w:p>
            <w:pPr>
              <w:widowControl/>
              <w:jc w:val="left"/>
              <w:rPr>
                <w:rFonts w:ascii="仿宋" w:hAnsi="仿宋" w:eastAsia="仿宋" w:cs="宋体"/>
                <w:kern w:val="0"/>
                <w:sz w:val="24"/>
              </w:rPr>
            </w:pPr>
          </w:p>
        </w:tc>
        <w:tc>
          <w:tcPr>
            <w:tcW w:w="2035" w:type="dxa"/>
            <w:tcBorders>
              <w:top w:val="nil"/>
              <w:left w:val="nil"/>
              <w:bottom w:val="nil"/>
              <w:right w:val="nil"/>
            </w:tcBorders>
            <w:vAlign w:val="bottom"/>
          </w:tcPr>
          <w:p>
            <w:pPr>
              <w:widowControl/>
              <w:jc w:val="left"/>
              <w:rPr>
                <w:rFonts w:ascii="仿宋" w:hAnsi="仿宋" w:eastAsia="仿宋" w:cs="宋体"/>
                <w:kern w:val="0"/>
                <w:sz w:val="24"/>
              </w:rPr>
            </w:pPr>
            <w:r>
              <w:rPr>
                <w:rFonts w:hint="eastAsia" w:ascii="仿宋" w:hAnsi="仿宋" w:eastAsia="仿宋" w:cs="宋体"/>
                <w:kern w:val="0"/>
                <w:sz w:val="24"/>
              </w:rPr>
              <w:t>单位：万元</w:t>
            </w:r>
          </w:p>
        </w:tc>
      </w:tr>
      <w:tr>
        <w:tblPrEx>
          <w:tblCellMar>
            <w:top w:w="0" w:type="dxa"/>
            <w:left w:w="108" w:type="dxa"/>
            <w:bottom w:w="0" w:type="dxa"/>
            <w:right w:w="108" w:type="dxa"/>
          </w:tblCellMar>
        </w:tblPrEx>
        <w:trPr>
          <w:trHeight w:val="499" w:hRule="atLeast"/>
        </w:trPr>
        <w:tc>
          <w:tcPr>
            <w:tcW w:w="208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科目代码</w:t>
            </w:r>
          </w:p>
        </w:tc>
        <w:tc>
          <w:tcPr>
            <w:tcW w:w="382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科目名称</w:t>
            </w:r>
          </w:p>
        </w:tc>
        <w:tc>
          <w:tcPr>
            <w:tcW w:w="203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金额</w:t>
            </w:r>
          </w:p>
        </w:tc>
      </w:tr>
      <w:tr>
        <w:tblPrEx>
          <w:tblCellMar>
            <w:top w:w="0" w:type="dxa"/>
            <w:left w:w="108" w:type="dxa"/>
            <w:bottom w:w="0" w:type="dxa"/>
            <w:right w:w="108" w:type="dxa"/>
          </w:tblCellMar>
        </w:tblPrEx>
        <w:trPr>
          <w:trHeight w:val="499" w:hRule="atLeast"/>
        </w:trPr>
        <w:tc>
          <w:tcPr>
            <w:tcW w:w="2083" w:type="dxa"/>
            <w:tcBorders>
              <w:top w:val="nil"/>
              <w:left w:val="single" w:color="auto" w:sz="4" w:space="0"/>
              <w:bottom w:val="single" w:color="auto" w:sz="4" w:space="0"/>
              <w:right w:val="single" w:color="auto" w:sz="4" w:space="0"/>
            </w:tcBorders>
            <w:vAlign w:val="center"/>
          </w:tcPr>
          <w:p>
            <w:pPr>
              <w:widowControl/>
              <w:rPr>
                <w:rFonts w:ascii="仿宋" w:hAnsi="仿宋" w:eastAsia="仿宋" w:cs="宋体"/>
                <w:b/>
                <w:bCs/>
                <w:color w:val="000000"/>
                <w:kern w:val="0"/>
                <w:sz w:val="24"/>
              </w:rPr>
            </w:pPr>
            <w:r>
              <w:rPr>
                <w:rFonts w:ascii="仿宋" w:hAnsi="仿宋" w:eastAsia="仿宋" w:cs="宋体"/>
                <w:b/>
                <w:bCs/>
                <w:color w:val="000000"/>
                <w:kern w:val="0"/>
                <w:sz w:val="24"/>
              </w:rPr>
              <w:t>102</w:t>
            </w:r>
          </w:p>
        </w:tc>
        <w:tc>
          <w:tcPr>
            <w:tcW w:w="3820" w:type="dxa"/>
            <w:tcBorders>
              <w:top w:val="nil"/>
              <w:left w:val="nil"/>
              <w:bottom w:val="single" w:color="auto" w:sz="4" w:space="0"/>
              <w:right w:val="single" w:color="auto" w:sz="4" w:space="0"/>
            </w:tcBorders>
            <w:vAlign w:val="center"/>
          </w:tcPr>
          <w:p>
            <w:pPr>
              <w:widowControl/>
              <w:rPr>
                <w:rFonts w:ascii="仿宋" w:hAnsi="仿宋" w:eastAsia="仿宋" w:cs="宋体"/>
                <w:b/>
                <w:bCs/>
                <w:color w:val="000000"/>
                <w:kern w:val="0"/>
                <w:sz w:val="24"/>
              </w:rPr>
            </w:pPr>
            <w:r>
              <w:rPr>
                <w:rFonts w:hint="eastAsia" w:ascii="仿宋" w:hAnsi="仿宋" w:eastAsia="仿宋" w:cs="宋体"/>
                <w:b/>
                <w:bCs/>
                <w:color w:val="000000"/>
                <w:kern w:val="0"/>
                <w:sz w:val="24"/>
              </w:rPr>
              <w:t>社会保险基金收入</w:t>
            </w:r>
          </w:p>
        </w:tc>
        <w:tc>
          <w:tcPr>
            <w:tcW w:w="2035" w:type="dxa"/>
            <w:tcBorders>
              <w:top w:val="nil"/>
              <w:left w:val="nil"/>
              <w:bottom w:val="single" w:color="auto" w:sz="4" w:space="0"/>
              <w:right w:val="single" w:color="auto" w:sz="4" w:space="0"/>
            </w:tcBorders>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6</w:t>
            </w:r>
            <w:r>
              <w:rPr>
                <w:rFonts w:hint="eastAsia" w:ascii="仿宋_GB2312" w:hAnsi="宋体" w:eastAsia="仿宋_GB2312" w:cs="宋体"/>
                <w:color w:val="000000"/>
                <w:kern w:val="0"/>
                <w:sz w:val="24"/>
              </w:rPr>
              <w:t>,</w:t>
            </w:r>
            <w:r>
              <w:rPr>
                <w:rFonts w:hint="eastAsia" w:ascii="仿宋" w:hAnsi="仿宋" w:eastAsia="仿宋" w:cs="宋体"/>
                <w:b/>
                <w:bCs/>
                <w:color w:val="000000"/>
                <w:kern w:val="0"/>
                <w:sz w:val="24"/>
              </w:rPr>
              <w:t>314</w:t>
            </w:r>
          </w:p>
        </w:tc>
      </w:tr>
      <w:tr>
        <w:tblPrEx>
          <w:tblCellMar>
            <w:top w:w="0" w:type="dxa"/>
            <w:left w:w="108" w:type="dxa"/>
            <w:bottom w:w="0" w:type="dxa"/>
            <w:right w:w="108" w:type="dxa"/>
          </w:tblCellMar>
        </w:tblPrEx>
        <w:trPr>
          <w:trHeight w:val="499" w:hRule="atLeast"/>
        </w:trPr>
        <w:tc>
          <w:tcPr>
            <w:tcW w:w="2083"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24"/>
              </w:rPr>
            </w:pPr>
            <w:r>
              <w:rPr>
                <w:rFonts w:ascii="仿宋" w:hAnsi="仿宋" w:eastAsia="仿宋" w:cs="宋体"/>
                <w:color w:val="000000"/>
                <w:kern w:val="0"/>
                <w:sz w:val="24"/>
              </w:rPr>
              <w:t>10203</w:t>
            </w:r>
          </w:p>
        </w:tc>
        <w:tc>
          <w:tcPr>
            <w:tcW w:w="3820" w:type="dxa"/>
            <w:tcBorders>
              <w:top w:val="nil"/>
              <w:left w:val="nil"/>
              <w:bottom w:val="single" w:color="auto" w:sz="4" w:space="0"/>
              <w:right w:val="single" w:color="auto" w:sz="4" w:space="0"/>
            </w:tcBorders>
            <w:vAlign w:val="center"/>
          </w:tcPr>
          <w:p>
            <w:pPr>
              <w:widowControl/>
              <w:rPr>
                <w:rFonts w:ascii="仿宋" w:hAnsi="仿宋" w:eastAsia="仿宋" w:cs="宋体"/>
                <w:color w:val="000000"/>
                <w:kern w:val="0"/>
                <w:sz w:val="24"/>
              </w:rPr>
            </w:pPr>
            <w:r>
              <w:rPr>
                <w:rFonts w:ascii="仿宋" w:hAnsi="仿宋" w:eastAsia="仿宋" w:cs="宋体"/>
                <w:color w:val="000000"/>
                <w:kern w:val="0"/>
                <w:sz w:val="24"/>
              </w:rPr>
              <w:t xml:space="preserve">    </w:t>
            </w:r>
            <w:r>
              <w:rPr>
                <w:rFonts w:hint="eastAsia" w:ascii="仿宋" w:hAnsi="仿宋" w:eastAsia="仿宋" w:cs="宋体"/>
                <w:color w:val="000000"/>
                <w:kern w:val="0"/>
                <w:sz w:val="24"/>
              </w:rPr>
              <w:t>基本医疗保险基金收入</w:t>
            </w:r>
          </w:p>
        </w:tc>
        <w:tc>
          <w:tcPr>
            <w:tcW w:w="2035" w:type="dxa"/>
            <w:tcBorders>
              <w:top w:val="nil"/>
              <w:left w:val="nil"/>
              <w:bottom w:val="single" w:color="auto" w:sz="4" w:space="0"/>
              <w:right w:val="single" w:color="auto" w:sz="4" w:space="0"/>
            </w:tcBorders>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5</w:t>
            </w:r>
            <w:r>
              <w:rPr>
                <w:rFonts w:hint="eastAsia" w:ascii="仿宋_GB2312" w:hAnsi="宋体" w:eastAsia="仿宋_GB2312" w:cs="宋体"/>
                <w:color w:val="000000"/>
                <w:kern w:val="0"/>
                <w:sz w:val="24"/>
              </w:rPr>
              <w:t>,</w:t>
            </w:r>
            <w:r>
              <w:rPr>
                <w:rFonts w:hint="eastAsia" w:ascii="仿宋" w:hAnsi="仿宋" w:eastAsia="仿宋" w:cs="宋体"/>
                <w:color w:val="000000"/>
                <w:kern w:val="0"/>
                <w:sz w:val="24"/>
              </w:rPr>
              <w:t>886</w:t>
            </w:r>
          </w:p>
        </w:tc>
      </w:tr>
      <w:tr>
        <w:tblPrEx>
          <w:tblCellMar>
            <w:top w:w="0" w:type="dxa"/>
            <w:left w:w="108" w:type="dxa"/>
            <w:bottom w:w="0" w:type="dxa"/>
            <w:right w:w="108" w:type="dxa"/>
          </w:tblCellMar>
        </w:tblPrEx>
        <w:trPr>
          <w:trHeight w:val="499" w:hRule="atLeast"/>
        </w:trPr>
        <w:tc>
          <w:tcPr>
            <w:tcW w:w="2083"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宋体"/>
                <w:color w:val="000000"/>
                <w:kern w:val="0"/>
                <w:sz w:val="24"/>
              </w:rPr>
            </w:pPr>
            <w:r>
              <w:rPr>
                <w:rFonts w:ascii="仿宋" w:hAnsi="仿宋" w:eastAsia="仿宋" w:cs="宋体"/>
                <w:color w:val="000000"/>
                <w:kern w:val="0"/>
                <w:sz w:val="24"/>
              </w:rPr>
              <w:t>1020301</w:t>
            </w:r>
          </w:p>
        </w:tc>
        <w:tc>
          <w:tcPr>
            <w:tcW w:w="3820" w:type="dxa"/>
            <w:tcBorders>
              <w:top w:val="nil"/>
              <w:left w:val="nil"/>
              <w:bottom w:val="single" w:color="auto" w:sz="4" w:space="0"/>
              <w:right w:val="single" w:color="auto" w:sz="4" w:space="0"/>
            </w:tcBorders>
            <w:vAlign w:val="center"/>
          </w:tcPr>
          <w:p>
            <w:pPr>
              <w:widowControl/>
              <w:rPr>
                <w:rFonts w:ascii="仿宋" w:hAnsi="仿宋" w:eastAsia="仿宋" w:cs="宋体"/>
                <w:color w:val="000000"/>
                <w:kern w:val="0"/>
                <w:sz w:val="24"/>
              </w:rPr>
            </w:pPr>
            <w:r>
              <w:rPr>
                <w:rFonts w:ascii="仿宋" w:hAnsi="仿宋" w:eastAsia="仿宋" w:cs="宋体"/>
                <w:color w:val="000000"/>
                <w:kern w:val="0"/>
                <w:sz w:val="24"/>
              </w:rPr>
              <w:t xml:space="preserve">        </w:t>
            </w:r>
            <w:r>
              <w:rPr>
                <w:rFonts w:hint="eastAsia" w:ascii="仿宋" w:hAnsi="仿宋" w:eastAsia="仿宋" w:cs="宋体"/>
                <w:color w:val="000000"/>
                <w:kern w:val="0"/>
                <w:sz w:val="24"/>
              </w:rPr>
              <w:t>基本医疗保险费收入</w:t>
            </w:r>
          </w:p>
        </w:tc>
        <w:tc>
          <w:tcPr>
            <w:tcW w:w="2035" w:type="dxa"/>
            <w:tcBorders>
              <w:top w:val="nil"/>
              <w:left w:val="nil"/>
              <w:bottom w:val="single" w:color="auto" w:sz="4" w:space="0"/>
              <w:right w:val="single" w:color="auto" w:sz="4" w:space="0"/>
            </w:tcBorders>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5</w:t>
            </w:r>
            <w:r>
              <w:rPr>
                <w:rFonts w:hint="eastAsia" w:ascii="仿宋_GB2312" w:hAnsi="宋体" w:eastAsia="仿宋_GB2312" w:cs="宋体"/>
                <w:color w:val="000000"/>
                <w:kern w:val="0"/>
                <w:sz w:val="24"/>
              </w:rPr>
              <w:t>,</w:t>
            </w:r>
            <w:r>
              <w:rPr>
                <w:rFonts w:hint="eastAsia" w:ascii="仿宋" w:hAnsi="仿宋" w:eastAsia="仿宋" w:cs="宋体"/>
                <w:color w:val="000000"/>
                <w:kern w:val="0"/>
                <w:sz w:val="24"/>
              </w:rPr>
              <w:t>733</w:t>
            </w:r>
          </w:p>
        </w:tc>
      </w:tr>
      <w:tr>
        <w:tblPrEx>
          <w:tblCellMar>
            <w:top w:w="0" w:type="dxa"/>
            <w:left w:w="108" w:type="dxa"/>
            <w:bottom w:w="0" w:type="dxa"/>
            <w:right w:w="108" w:type="dxa"/>
          </w:tblCellMar>
        </w:tblPrEx>
        <w:trPr>
          <w:trHeight w:val="499" w:hRule="atLeast"/>
        </w:trPr>
        <w:tc>
          <w:tcPr>
            <w:tcW w:w="2083"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宋体"/>
                <w:color w:val="000000"/>
                <w:kern w:val="0"/>
                <w:sz w:val="24"/>
              </w:rPr>
            </w:pPr>
            <w:r>
              <w:rPr>
                <w:rFonts w:ascii="仿宋" w:hAnsi="仿宋" w:eastAsia="仿宋" w:cs="宋体"/>
                <w:color w:val="000000"/>
                <w:kern w:val="0"/>
                <w:sz w:val="24"/>
              </w:rPr>
              <w:t>102030</w:t>
            </w:r>
            <w:r>
              <w:rPr>
                <w:rFonts w:hint="eastAsia" w:ascii="仿宋" w:hAnsi="仿宋" w:eastAsia="仿宋" w:cs="宋体"/>
                <w:color w:val="000000"/>
                <w:kern w:val="0"/>
                <w:sz w:val="24"/>
              </w:rPr>
              <w:t>3</w:t>
            </w:r>
          </w:p>
        </w:tc>
        <w:tc>
          <w:tcPr>
            <w:tcW w:w="3820" w:type="dxa"/>
            <w:tcBorders>
              <w:top w:val="nil"/>
              <w:left w:val="nil"/>
              <w:bottom w:val="single" w:color="auto" w:sz="4" w:space="0"/>
              <w:right w:val="single" w:color="auto" w:sz="4" w:space="0"/>
            </w:tcBorders>
            <w:vAlign w:val="center"/>
          </w:tcPr>
          <w:p>
            <w:pPr>
              <w:widowControl/>
              <w:rPr>
                <w:rFonts w:ascii="仿宋" w:hAnsi="仿宋" w:eastAsia="仿宋" w:cs="宋体"/>
                <w:color w:val="000000"/>
                <w:kern w:val="0"/>
                <w:sz w:val="24"/>
              </w:rPr>
            </w:pPr>
            <w:r>
              <w:rPr>
                <w:rFonts w:ascii="仿宋" w:hAnsi="仿宋" w:eastAsia="仿宋" w:cs="宋体"/>
                <w:color w:val="000000"/>
                <w:kern w:val="0"/>
                <w:sz w:val="24"/>
              </w:rPr>
              <w:t xml:space="preserve">        </w:t>
            </w:r>
            <w:r>
              <w:rPr>
                <w:rFonts w:hint="eastAsia" w:ascii="仿宋" w:hAnsi="仿宋" w:eastAsia="仿宋" w:cs="宋体"/>
                <w:color w:val="000000"/>
                <w:kern w:val="0"/>
                <w:sz w:val="24"/>
              </w:rPr>
              <w:t>基本医疗保险基金利息收入</w:t>
            </w:r>
          </w:p>
        </w:tc>
        <w:tc>
          <w:tcPr>
            <w:tcW w:w="2035" w:type="dxa"/>
            <w:tcBorders>
              <w:top w:val="nil"/>
              <w:left w:val="nil"/>
              <w:bottom w:val="single" w:color="auto" w:sz="4" w:space="0"/>
              <w:right w:val="single" w:color="auto" w:sz="4" w:space="0"/>
            </w:tcBorders>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153</w:t>
            </w:r>
          </w:p>
        </w:tc>
      </w:tr>
      <w:tr>
        <w:tblPrEx>
          <w:tblCellMar>
            <w:top w:w="0" w:type="dxa"/>
            <w:left w:w="108" w:type="dxa"/>
            <w:bottom w:w="0" w:type="dxa"/>
            <w:right w:w="108" w:type="dxa"/>
          </w:tblCellMar>
        </w:tblPrEx>
        <w:trPr>
          <w:trHeight w:val="499" w:hRule="atLeast"/>
        </w:trPr>
        <w:tc>
          <w:tcPr>
            <w:tcW w:w="2083"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24"/>
              </w:rPr>
            </w:pPr>
            <w:r>
              <w:rPr>
                <w:rFonts w:ascii="仿宋" w:hAnsi="仿宋" w:eastAsia="仿宋" w:cs="宋体"/>
                <w:color w:val="000000"/>
                <w:kern w:val="0"/>
                <w:sz w:val="24"/>
              </w:rPr>
              <w:t>10211</w:t>
            </w:r>
          </w:p>
        </w:tc>
        <w:tc>
          <w:tcPr>
            <w:tcW w:w="3820" w:type="dxa"/>
            <w:tcBorders>
              <w:top w:val="nil"/>
              <w:left w:val="nil"/>
              <w:bottom w:val="single" w:color="auto" w:sz="4" w:space="0"/>
              <w:right w:val="single" w:color="auto" w:sz="4" w:space="0"/>
            </w:tcBorders>
            <w:vAlign w:val="center"/>
          </w:tcPr>
          <w:p>
            <w:pPr>
              <w:widowControl/>
              <w:rPr>
                <w:rFonts w:ascii="仿宋" w:hAnsi="仿宋" w:eastAsia="仿宋" w:cs="宋体"/>
                <w:color w:val="000000"/>
                <w:kern w:val="0"/>
                <w:sz w:val="24"/>
              </w:rPr>
            </w:pPr>
            <w:r>
              <w:rPr>
                <w:rFonts w:ascii="仿宋" w:hAnsi="仿宋" w:eastAsia="仿宋" w:cs="宋体"/>
                <w:color w:val="000000"/>
                <w:kern w:val="0"/>
                <w:sz w:val="24"/>
              </w:rPr>
              <w:t xml:space="preserve">    </w:t>
            </w:r>
            <w:r>
              <w:rPr>
                <w:rFonts w:hint="eastAsia" w:ascii="仿宋" w:hAnsi="仿宋" w:eastAsia="仿宋" w:cs="宋体"/>
                <w:color w:val="000000"/>
                <w:kern w:val="0"/>
                <w:sz w:val="24"/>
              </w:rPr>
              <w:t>机关事业养老保险基金收入</w:t>
            </w:r>
          </w:p>
        </w:tc>
        <w:tc>
          <w:tcPr>
            <w:tcW w:w="2035" w:type="dxa"/>
            <w:tcBorders>
              <w:top w:val="nil"/>
              <w:left w:val="nil"/>
              <w:bottom w:val="single" w:color="auto" w:sz="4" w:space="0"/>
              <w:right w:val="single" w:color="auto" w:sz="4" w:space="0"/>
            </w:tcBorders>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428</w:t>
            </w:r>
          </w:p>
        </w:tc>
      </w:tr>
      <w:tr>
        <w:tblPrEx>
          <w:tblCellMar>
            <w:top w:w="0" w:type="dxa"/>
            <w:left w:w="108" w:type="dxa"/>
            <w:bottom w:w="0" w:type="dxa"/>
            <w:right w:w="108" w:type="dxa"/>
          </w:tblCellMar>
        </w:tblPrEx>
        <w:trPr>
          <w:trHeight w:val="499" w:hRule="atLeast"/>
        </w:trPr>
        <w:tc>
          <w:tcPr>
            <w:tcW w:w="2083"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宋体"/>
                <w:color w:val="000000"/>
                <w:kern w:val="0"/>
                <w:sz w:val="24"/>
              </w:rPr>
            </w:pPr>
            <w:r>
              <w:rPr>
                <w:rFonts w:ascii="仿宋" w:hAnsi="仿宋" w:eastAsia="仿宋" w:cs="宋体"/>
                <w:color w:val="000000"/>
                <w:kern w:val="0"/>
                <w:sz w:val="24"/>
              </w:rPr>
              <w:t>1021101</w:t>
            </w:r>
          </w:p>
        </w:tc>
        <w:tc>
          <w:tcPr>
            <w:tcW w:w="3820" w:type="dxa"/>
            <w:tcBorders>
              <w:top w:val="nil"/>
              <w:left w:val="nil"/>
              <w:bottom w:val="single" w:color="auto" w:sz="4" w:space="0"/>
              <w:right w:val="single" w:color="auto" w:sz="4" w:space="0"/>
            </w:tcBorders>
            <w:vAlign w:val="center"/>
          </w:tcPr>
          <w:p>
            <w:pPr>
              <w:widowControl/>
              <w:rPr>
                <w:rFonts w:ascii="仿宋" w:hAnsi="仿宋" w:eastAsia="仿宋" w:cs="宋体"/>
                <w:color w:val="000000"/>
                <w:kern w:val="0"/>
                <w:sz w:val="24"/>
              </w:rPr>
            </w:pPr>
            <w:r>
              <w:rPr>
                <w:rFonts w:ascii="仿宋" w:hAnsi="仿宋" w:eastAsia="仿宋" w:cs="宋体"/>
                <w:color w:val="000000"/>
                <w:kern w:val="0"/>
                <w:sz w:val="24"/>
              </w:rPr>
              <w:t xml:space="preserve">    </w:t>
            </w:r>
            <w:r>
              <w:rPr>
                <w:rFonts w:hint="eastAsia" w:ascii="仿宋" w:hAnsi="仿宋" w:eastAsia="仿宋" w:cs="宋体"/>
                <w:color w:val="000000"/>
                <w:kern w:val="0"/>
                <w:sz w:val="24"/>
              </w:rPr>
              <w:t>机关事业养老保险费收入</w:t>
            </w:r>
          </w:p>
        </w:tc>
        <w:tc>
          <w:tcPr>
            <w:tcW w:w="2035" w:type="dxa"/>
            <w:tcBorders>
              <w:top w:val="nil"/>
              <w:left w:val="nil"/>
              <w:bottom w:val="single" w:color="auto" w:sz="4" w:space="0"/>
              <w:right w:val="single" w:color="auto" w:sz="4" w:space="0"/>
            </w:tcBorders>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395</w:t>
            </w:r>
          </w:p>
        </w:tc>
      </w:tr>
      <w:tr>
        <w:tblPrEx>
          <w:tblCellMar>
            <w:top w:w="0" w:type="dxa"/>
            <w:left w:w="108" w:type="dxa"/>
            <w:bottom w:w="0" w:type="dxa"/>
            <w:right w:w="108" w:type="dxa"/>
          </w:tblCellMar>
        </w:tblPrEx>
        <w:trPr>
          <w:trHeight w:val="499" w:hRule="atLeast"/>
        </w:trPr>
        <w:tc>
          <w:tcPr>
            <w:tcW w:w="2083"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宋体"/>
                <w:color w:val="000000"/>
                <w:kern w:val="0"/>
                <w:sz w:val="24"/>
              </w:rPr>
            </w:pPr>
            <w:r>
              <w:rPr>
                <w:rFonts w:ascii="仿宋" w:hAnsi="仿宋" w:eastAsia="仿宋" w:cs="宋体"/>
                <w:color w:val="000000"/>
                <w:kern w:val="0"/>
                <w:sz w:val="24"/>
              </w:rPr>
              <w:t>1021103</w:t>
            </w:r>
          </w:p>
        </w:tc>
        <w:tc>
          <w:tcPr>
            <w:tcW w:w="3820" w:type="dxa"/>
            <w:tcBorders>
              <w:top w:val="nil"/>
              <w:left w:val="nil"/>
              <w:bottom w:val="single" w:color="auto" w:sz="4" w:space="0"/>
              <w:right w:val="single" w:color="auto" w:sz="4" w:space="0"/>
            </w:tcBorders>
            <w:vAlign w:val="center"/>
          </w:tcPr>
          <w:p>
            <w:pPr>
              <w:widowControl/>
              <w:rPr>
                <w:rFonts w:ascii="仿宋" w:hAnsi="仿宋" w:eastAsia="仿宋" w:cs="宋体"/>
                <w:color w:val="000000"/>
                <w:kern w:val="0"/>
                <w:sz w:val="24"/>
              </w:rPr>
            </w:pPr>
            <w:r>
              <w:rPr>
                <w:rFonts w:ascii="仿宋" w:hAnsi="仿宋" w:eastAsia="仿宋" w:cs="宋体"/>
                <w:color w:val="000000"/>
                <w:kern w:val="0"/>
                <w:sz w:val="24"/>
              </w:rPr>
              <w:t xml:space="preserve">    </w:t>
            </w:r>
            <w:r>
              <w:rPr>
                <w:rFonts w:hint="eastAsia" w:ascii="仿宋" w:hAnsi="仿宋" w:eastAsia="仿宋" w:cs="宋体"/>
                <w:color w:val="000000"/>
                <w:kern w:val="0"/>
                <w:sz w:val="24"/>
              </w:rPr>
              <w:t>机关事业养老保险基金利息收入</w:t>
            </w:r>
          </w:p>
        </w:tc>
        <w:tc>
          <w:tcPr>
            <w:tcW w:w="2035" w:type="dxa"/>
            <w:tcBorders>
              <w:top w:val="nil"/>
              <w:left w:val="nil"/>
              <w:bottom w:val="single" w:color="auto" w:sz="4" w:space="0"/>
              <w:right w:val="single" w:color="auto" w:sz="4" w:space="0"/>
            </w:tcBorders>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33</w:t>
            </w:r>
          </w:p>
        </w:tc>
      </w:tr>
      <w:tr>
        <w:tblPrEx>
          <w:tblCellMar>
            <w:top w:w="0" w:type="dxa"/>
            <w:left w:w="108" w:type="dxa"/>
            <w:bottom w:w="0" w:type="dxa"/>
            <w:right w:w="108" w:type="dxa"/>
          </w:tblCellMar>
        </w:tblPrEx>
        <w:trPr>
          <w:trHeight w:val="499" w:hRule="atLeast"/>
        </w:trPr>
        <w:tc>
          <w:tcPr>
            <w:tcW w:w="2083" w:type="dxa"/>
            <w:tcBorders>
              <w:top w:val="nil"/>
              <w:left w:val="single" w:color="auto" w:sz="4" w:space="0"/>
              <w:bottom w:val="single" w:color="auto" w:sz="4" w:space="0"/>
              <w:right w:val="single" w:color="auto" w:sz="4" w:space="0"/>
            </w:tcBorders>
            <w:vAlign w:val="center"/>
          </w:tcPr>
          <w:p>
            <w:pPr>
              <w:widowControl/>
              <w:rPr>
                <w:rFonts w:ascii="仿宋" w:hAnsi="仿宋" w:eastAsia="仿宋" w:cs="宋体"/>
                <w:b/>
                <w:bCs/>
                <w:color w:val="000000"/>
                <w:kern w:val="0"/>
                <w:sz w:val="24"/>
              </w:rPr>
            </w:pPr>
            <w:r>
              <w:rPr>
                <w:rFonts w:ascii="仿宋" w:hAnsi="仿宋" w:eastAsia="仿宋" w:cs="宋体"/>
                <w:b/>
                <w:bCs/>
                <w:color w:val="000000"/>
                <w:kern w:val="0"/>
                <w:sz w:val="24"/>
              </w:rPr>
              <w:t>1</w:t>
            </w:r>
            <w:r>
              <w:rPr>
                <w:rFonts w:hint="eastAsia" w:ascii="仿宋" w:hAnsi="仿宋" w:eastAsia="仿宋" w:cs="宋体"/>
                <w:b/>
                <w:bCs/>
                <w:color w:val="000000"/>
                <w:kern w:val="0"/>
                <w:sz w:val="24"/>
              </w:rPr>
              <w:t>10</w:t>
            </w:r>
          </w:p>
        </w:tc>
        <w:tc>
          <w:tcPr>
            <w:tcW w:w="3820" w:type="dxa"/>
            <w:tcBorders>
              <w:top w:val="nil"/>
              <w:left w:val="nil"/>
              <w:bottom w:val="single" w:color="auto" w:sz="4" w:space="0"/>
              <w:right w:val="single" w:color="auto" w:sz="4" w:space="0"/>
            </w:tcBorders>
            <w:vAlign w:val="center"/>
          </w:tcPr>
          <w:p>
            <w:pPr>
              <w:widowControl/>
              <w:rPr>
                <w:rFonts w:ascii="仿宋" w:hAnsi="仿宋" w:eastAsia="仿宋" w:cs="宋体"/>
                <w:b/>
                <w:bCs/>
                <w:color w:val="000000"/>
                <w:kern w:val="0"/>
                <w:sz w:val="24"/>
              </w:rPr>
            </w:pPr>
            <w:r>
              <w:rPr>
                <w:rFonts w:hint="eastAsia" w:ascii="仿宋" w:hAnsi="仿宋" w:eastAsia="仿宋" w:cs="宋体"/>
                <w:b/>
                <w:bCs/>
                <w:color w:val="000000"/>
                <w:kern w:val="0"/>
                <w:sz w:val="24"/>
              </w:rPr>
              <w:t>转移性收入</w:t>
            </w:r>
          </w:p>
        </w:tc>
        <w:tc>
          <w:tcPr>
            <w:tcW w:w="2035" w:type="dxa"/>
            <w:tcBorders>
              <w:top w:val="nil"/>
              <w:left w:val="nil"/>
              <w:bottom w:val="single" w:color="auto" w:sz="4" w:space="0"/>
              <w:right w:val="single" w:color="auto" w:sz="4" w:space="0"/>
            </w:tcBorders>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3</w:t>
            </w:r>
          </w:p>
        </w:tc>
      </w:tr>
      <w:tr>
        <w:tblPrEx>
          <w:tblCellMar>
            <w:top w:w="0" w:type="dxa"/>
            <w:left w:w="108" w:type="dxa"/>
            <w:bottom w:w="0" w:type="dxa"/>
            <w:right w:w="108" w:type="dxa"/>
          </w:tblCellMar>
        </w:tblPrEx>
        <w:trPr>
          <w:trHeight w:val="499" w:hRule="atLeast"/>
        </w:trPr>
        <w:tc>
          <w:tcPr>
            <w:tcW w:w="2083"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24"/>
              </w:rPr>
            </w:pPr>
            <w:r>
              <w:rPr>
                <w:rFonts w:ascii="仿宋" w:hAnsi="仿宋" w:eastAsia="仿宋" w:cs="宋体"/>
                <w:color w:val="000000"/>
                <w:kern w:val="0"/>
                <w:sz w:val="24"/>
              </w:rPr>
              <w:t>1</w:t>
            </w:r>
            <w:r>
              <w:rPr>
                <w:rFonts w:hint="eastAsia" w:ascii="仿宋" w:hAnsi="仿宋" w:eastAsia="仿宋" w:cs="宋体"/>
                <w:color w:val="000000"/>
                <w:kern w:val="0"/>
                <w:sz w:val="24"/>
              </w:rPr>
              <w:t>1016</w:t>
            </w:r>
          </w:p>
        </w:tc>
        <w:tc>
          <w:tcPr>
            <w:tcW w:w="3820" w:type="dxa"/>
            <w:tcBorders>
              <w:top w:val="nil"/>
              <w:left w:val="nil"/>
              <w:bottom w:val="single" w:color="auto" w:sz="4" w:space="0"/>
              <w:right w:val="single" w:color="auto" w:sz="4" w:space="0"/>
            </w:tcBorders>
            <w:vAlign w:val="center"/>
          </w:tcPr>
          <w:p>
            <w:pPr>
              <w:widowControl/>
              <w:rPr>
                <w:rFonts w:ascii="仿宋" w:hAnsi="仿宋" w:eastAsia="仿宋" w:cs="宋体"/>
                <w:color w:val="000000"/>
                <w:kern w:val="0"/>
                <w:sz w:val="24"/>
              </w:rPr>
            </w:pPr>
            <w:r>
              <w:rPr>
                <w:rFonts w:ascii="仿宋" w:hAnsi="仿宋" w:eastAsia="仿宋" w:cs="宋体"/>
                <w:color w:val="000000"/>
                <w:kern w:val="0"/>
                <w:sz w:val="24"/>
              </w:rPr>
              <w:t xml:space="preserve">    </w:t>
            </w:r>
            <w:r>
              <w:rPr>
                <w:rFonts w:hint="eastAsia" w:ascii="仿宋" w:hAnsi="仿宋" w:eastAsia="仿宋" w:cs="宋体"/>
                <w:color w:val="000000"/>
                <w:kern w:val="0"/>
                <w:sz w:val="24"/>
              </w:rPr>
              <w:t>社会保险基金转移收入</w:t>
            </w:r>
          </w:p>
        </w:tc>
        <w:tc>
          <w:tcPr>
            <w:tcW w:w="2035" w:type="dxa"/>
            <w:tcBorders>
              <w:top w:val="nil"/>
              <w:left w:val="nil"/>
              <w:bottom w:val="single" w:color="auto" w:sz="4" w:space="0"/>
              <w:right w:val="single" w:color="auto" w:sz="4" w:space="0"/>
            </w:tcBorders>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3</w:t>
            </w:r>
          </w:p>
        </w:tc>
      </w:tr>
    </w:tbl>
    <w:p>
      <w:pPr>
        <w:spacing w:line="360" w:lineRule="auto"/>
        <w:jc w:val="center"/>
        <w:rPr>
          <w:rFonts w:ascii="仿宋_GB2312" w:eastAsia="仿宋_GB2312"/>
          <w:b/>
          <w:sz w:val="30"/>
          <w:szCs w:val="30"/>
        </w:rPr>
      </w:pPr>
    </w:p>
    <w:p>
      <w:pPr>
        <w:spacing w:line="360" w:lineRule="auto"/>
        <w:jc w:val="center"/>
        <w:rPr>
          <w:rFonts w:ascii="仿宋_GB2312" w:eastAsia="仿宋_GB2312"/>
          <w:b/>
          <w:sz w:val="30"/>
          <w:szCs w:val="30"/>
        </w:rPr>
      </w:pPr>
    </w:p>
    <w:p>
      <w:pPr>
        <w:spacing w:line="360" w:lineRule="auto"/>
        <w:jc w:val="center"/>
        <w:rPr>
          <w:rFonts w:ascii="仿宋_GB2312" w:eastAsia="仿宋_GB2312"/>
          <w:b/>
          <w:sz w:val="30"/>
          <w:szCs w:val="30"/>
        </w:rPr>
      </w:pPr>
    </w:p>
    <w:p>
      <w:pPr>
        <w:spacing w:line="360" w:lineRule="auto"/>
        <w:jc w:val="center"/>
        <w:rPr>
          <w:rFonts w:ascii="仿宋_GB2312" w:eastAsia="仿宋_GB2312"/>
          <w:b/>
          <w:sz w:val="30"/>
          <w:szCs w:val="30"/>
        </w:rPr>
      </w:pPr>
    </w:p>
    <w:p>
      <w:pPr>
        <w:spacing w:line="360" w:lineRule="auto"/>
        <w:jc w:val="center"/>
        <w:rPr>
          <w:rFonts w:ascii="仿宋_GB2312" w:eastAsia="仿宋_GB2312"/>
          <w:b/>
          <w:sz w:val="30"/>
          <w:szCs w:val="30"/>
        </w:rPr>
      </w:pPr>
    </w:p>
    <w:p>
      <w:pPr>
        <w:spacing w:line="360" w:lineRule="auto"/>
        <w:rPr>
          <w:rFonts w:ascii="仿宋_GB2312" w:eastAsia="仿宋_GB2312"/>
          <w:b/>
          <w:sz w:val="30"/>
          <w:szCs w:val="30"/>
        </w:rPr>
      </w:pPr>
    </w:p>
    <w:p>
      <w:pPr>
        <w:spacing w:line="360" w:lineRule="auto"/>
        <w:rPr>
          <w:rFonts w:ascii="仿宋_GB2312" w:eastAsia="仿宋_GB2312"/>
          <w:b/>
          <w:sz w:val="30"/>
          <w:szCs w:val="30"/>
        </w:rPr>
      </w:pPr>
    </w:p>
    <w:p>
      <w:pPr>
        <w:spacing w:line="360" w:lineRule="auto"/>
        <w:rPr>
          <w:rFonts w:ascii="仿宋_GB2312" w:eastAsia="仿宋_GB2312"/>
          <w:b/>
          <w:sz w:val="30"/>
          <w:szCs w:val="30"/>
        </w:rPr>
      </w:pPr>
    </w:p>
    <w:tbl>
      <w:tblPr>
        <w:tblStyle w:val="15"/>
        <w:tblW w:w="8080" w:type="dxa"/>
        <w:tblInd w:w="392" w:type="dxa"/>
        <w:tblLayout w:type="fixed"/>
        <w:tblCellMar>
          <w:top w:w="0" w:type="dxa"/>
          <w:left w:w="108" w:type="dxa"/>
          <w:bottom w:w="0" w:type="dxa"/>
          <w:right w:w="108" w:type="dxa"/>
        </w:tblCellMar>
      </w:tblPr>
      <w:tblGrid>
        <w:gridCol w:w="2013"/>
        <w:gridCol w:w="3850"/>
        <w:gridCol w:w="2217"/>
      </w:tblGrid>
      <w:tr>
        <w:tblPrEx>
          <w:tblCellMar>
            <w:top w:w="0" w:type="dxa"/>
            <w:left w:w="108" w:type="dxa"/>
            <w:bottom w:w="0" w:type="dxa"/>
            <w:right w:w="108" w:type="dxa"/>
          </w:tblCellMar>
        </w:tblPrEx>
        <w:trPr>
          <w:trHeight w:val="525" w:hRule="atLeast"/>
        </w:trPr>
        <w:tc>
          <w:tcPr>
            <w:tcW w:w="8080" w:type="dxa"/>
            <w:gridSpan w:val="3"/>
            <w:tcBorders>
              <w:top w:val="nil"/>
              <w:left w:val="nil"/>
              <w:bottom w:val="nil"/>
              <w:right w:val="nil"/>
            </w:tcBorders>
            <w:vAlign w:val="bottom"/>
          </w:tcPr>
          <w:p>
            <w:pPr>
              <w:pStyle w:val="4"/>
              <w:jc w:val="center"/>
              <w:rPr>
                <w:rFonts w:ascii="仿宋_GB2312" w:eastAsia="仿宋_GB2312"/>
                <w:color w:val="000000" w:themeColor="text1"/>
              </w:rPr>
            </w:pPr>
            <w:bookmarkStart w:id="37" w:name="_Toc503275899"/>
            <w:bookmarkStart w:id="38" w:name="_Toc500947608"/>
          </w:p>
          <w:p>
            <w:pPr>
              <w:pStyle w:val="4"/>
              <w:jc w:val="center"/>
              <w:rPr>
                <w:rFonts w:ascii="仿宋_GB2312" w:eastAsia="仿宋_GB2312"/>
                <w:color w:val="000000" w:themeColor="text1"/>
              </w:rPr>
            </w:pPr>
            <w:bookmarkStart w:id="39" w:name="_Toc60126008"/>
            <w:r>
              <w:rPr>
                <w:rFonts w:hint="eastAsia" w:ascii="仿宋_GB2312" w:eastAsia="仿宋_GB2312"/>
                <w:color w:val="000000" w:themeColor="text1"/>
              </w:rPr>
              <w:t>§</w:t>
            </w:r>
            <w:r>
              <w:rPr>
                <w:rFonts w:ascii="仿宋_GB2312" w:eastAsia="仿宋_GB2312"/>
                <w:color w:val="000000" w:themeColor="text1"/>
              </w:rPr>
              <w:t>4  20</w:t>
            </w:r>
            <w:r>
              <w:rPr>
                <w:rFonts w:hint="eastAsia" w:ascii="仿宋_GB2312" w:eastAsia="仿宋_GB2312"/>
                <w:color w:val="000000" w:themeColor="text1"/>
              </w:rPr>
              <w:t>21年区本级社会保险基金支出预算</w:t>
            </w:r>
            <w:bookmarkEnd w:id="37"/>
            <w:bookmarkEnd w:id="38"/>
            <w:r>
              <w:rPr>
                <w:rFonts w:hint="eastAsia" w:ascii="仿宋_GB2312" w:eastAsia="仿宋_GB2312"/>
                <w:color w:val="000000" w:themeColor="text1"/>
              </w:rPr>
              <w:t>表</w:t>
            </w:r>
            <w:bookmarkEnd w:id="39"/>
          </w:p>
        </w:tc>
      </w:tr>
      <w:tr>
        <w:tblPrEx>
          <w:tblCellMar>
            <w:top w:w="0" w:type="dxa"/>
            <w:left w:w="108" w:type="dxa"/>
            <w:bottom w:w="0" w:type="dxa"/>
            <w:right w:w="108" w:type="dxa"/>
          </w:tblCellMar>
        </w:tblPrEx>
        <w:trPr>
          <w:trHeight w:val="450" w:hRule="atLeast"/>
        </w:trPr>
        <w:tc>
          <w:tcPr>
            <w:tcW w:w="2013" w:type="dxa"/>
            <w:tcBorders>
              <w:top w:val="nil"/>
              <w:left w:val="nil"/>
              <w:bottom w:val="nil"/>
              <w:right w:val="nil"/>
            </w:tcBorders>
            <w:vAlign w:val="bottom"/>
          </w:tcPr>
          <w:p>
            <w:pPr>
              <w:widowControl/>
              <w:jc w:val="left"/>
              <w:rPr>
                <w:rFonts w:ascii="仿宋" w:hAnsi="仿宋" w:eastAsia="仿宋" w:cs="宋体"/>
                <w:kern w:val="0"/>
                <w:sz w:val="24"/>
              </w:rPr>
            </w:pPr>
          </w:p>
        </w:tc>
        <w:tc>
          <w:tcPr>
            <w:tcW w:w="3850" w:type="dxa"/>
            <w:tcBorders>
              <w:top w:val="nil"/>
              <w:left w:val="nil"/>
              <w:bottom w:val="nil"/>
              <w:right w:val="nil"/>
            </w:tcBorders>
            <w:vAlign w:val="bottom"/>
          </w:tcPr>
          <w:p>
            <w:pPr>
              <w:widowControl/>
              <w:jc w:val="left"/>
              <w:rPr>
                <w:rFonts w:ascii="仿宋" w:hAnsi="仿宋" w:eastAsia="仿宋" w:cs="宋体"/>
                <w:kern w:val="0"/>
                <w:sz w:val="24"/>
              </w:rPr>
            </w:pPr>
          </w:p>
        </w:tc>
        <w:tc>
          <w:tcPr>
            <w:tcW w:w="2217" w:type="dxa"/>
            <w:tcBorders>
              <w:top w:val="nil"/>
              <w:left w:val="nil"/>
              <w:bottom w:val="nil"/>
              <w:right w:val="nil"/>
            </w:tcBorders>
            <w:vAlign w:val="bottom"/>
          </w:tcPr>
          <w:p>
            <w:pPr>
              <w:widowControl/>
              <w:jc w:val="right"/>
              <w:rPr>
                <w:rFonts w:ascii="仿宋" w:hAnsi="仿宋" w:eastAsia="仿宋" w:cs="宋体"/>
                <w:kern w:val="0"/>
                <w:sz w:val="24"/>
              </w:rPr>
            </w:pPr>
            <w:r>
              <w:rPr>
                <w:rFonts w:hint="eastAsia" w:ascii="仿宋" w:hAnsi="仿宋" w:eastAsia="仿宋" w:cs="宋体"/>
                <w:kern w:val="0"/>
                <w:sz w:val="24"/>
              </w:rPr>
              <w:t>单位：万元</w:t>
            </w:r>
          </w:p>
        </w:tc>
      </w:tr>
      <w:tr>
        <w:tblPrEx>
          <w:tblCellMar>
            <w:top w:w="0" w:type="dxa"/>
            <w:left w:w="108" w:type="dxa"/>
            <w:bottom w:w="0" w:type="dxa"/>
            <w:right w:w="108" w:type="dxa"/>
          </w:tblCellMar>
        </w:tblPrEx>
        <w:trPr>
          <w:trHeight w:val="499" w:hRule="atLeast"/>
        </w:trPr>
        <w:tc>
          <w:tcPr>
            <w:tcW w:w="201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科目代码</w:t>
            </w:r>
          </w:p>
        </w:tc>
        <w:tc>
          <w:tcPr>
            <w:tcW w:w="385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科目名称</w:t>
            </w:r>
          </w:p>
        </w:tc>
        <w:tc>
          <w:tcPr>
            <w:tcW w:w="2217"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金额</w:t>
            </w:r>
          </w:p>
        </w:tc>
      </w:tr>
      <w:tr>
        <w:tblPrEx>
          <w:tblCellMar>
            <w:top w:w="0" w:type="dxa"/>
            <w:left w:w="108" w:type="dxa"/>
            <w:bottom w:w="0" w:type="dxa"/>
            <w:right w:w="108" w:type="dxa"/>
          </w:tblCellMar>
        </w:tblPrEx>
        <w:trPr>
          <w:trHeight w:val="499" w:hRule="atLeast"/>
        </w:trPr>
        <w:tc>
          <w:tcPr>
            <w:tcW w:w="2013"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24"/>
              </w:rPr>
            </w:pPr>
            <w:r>
              <w:rPr>
                <w:rFonts w:ascii="仿宋" w:hAnsi="仿宋" w:eastAsia="仿宋" w:cs="宋体"/>
                <w:b/>
                <w:bCs/>
                <w:color w:val="000000"/>
                <w:kern w:val="0"/>
                <w:sz w:val="24"/>
              </w:rPr>
              <w:t>209</w:t>
            </w:r>
          </w:p>
        </w:tc>
        <w:tc>
          <w:tcPr>
            <w:tcW w:w="3850" w:type="dxa"/>
            <w:tcBorders>
              <w:top w:val="nil"/>
              <w:left w:val="nil"/>
              <w:bottom w:val="single" w:color="auto" w:sz="4" w:space="0"/>
              <w:right w:val="single" w:color="auto" w:sz="4" w:space="0"/>
            </w:tcBorders>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社会保险基金支出</w:t>
            </w:r>
          </w:p>
        </w:tc>
        <w:tc>
          <w:tcPr>
            <w:tcW w:w="2217" w:type="dxa"/>
            <w:tcBorders>
              <w:top w:val="nil"/>
              <w:left w:val="nil"/>
              <w:bottom w:val="single" w:color="auto" w:sz="4" w:space="0"/>
              <w:right w:val="single" w:color="auto" w:sz="4" w:space="0"/>
            </w:tcBorders>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796</w:t>
            </w:r>
          </w:p>
        </w:tc>
      </w:tr>
      <w:tr>
        <w:tblPrEx>
          <w:tblCellMar>
            <w:top w:w="0" w:type="dxa"/>
            <w:left w:w="108" w:type="dxa"/>
            <w:bottom w:w="0" w:type="dxa"/>
            <w:right w:w="108" w:type="dxa"/>
          </w:tblCellMar>
        </w:tblPrEx>
        <w:trPr>
          <w:trHeight w:val="499" w:hRule="atLeast"/>
        </w:trPr>
        <w:tc>
          <w:tcPr>
            <w:tcW w:w="2013"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24"/>
              </w:rPr>
            </w:pPr>
            <w:r>
              <w:rPr>
                <w:rFonts w:ascii="仿宋" w:hAnsi="仿宋" w:eastAsia="仿宋" w:cs="宋体"/>
                <w:color w:val="000000"/>
                <w:kern w:val="0"/>
                <w:sz w:val="24"/>
              </w:rPr>
              <w:t>20903</w:t>
            </w:r>
          </w:p>
        </w:tc>
        <w:tc>
          <w:tcPr>
            <w:tcW w:w="3850" w:type="dxa"/>
            <w:tcBorders>
              <w:top w:val="nil"/>
              <w:left w:val="nil"/>
              <w:bottom w:val="single" w:color="auto" w:sz="4" w:space="0"/>
              <w:right w:val="single" w:color="auto" w:sz="4" w:space="0"/>
            </w:tcBorders>
            <w:vAlign w:val="center"/>
          </w:tcPr>
          <w:p>
            <w:pPr>
              <w:widowControl/>
              <w:rPr>
                <w:rFonts w:ascii="仿宋" w:hAnsi="仿宋" w:eastAsia="仿宋" w:cs="宋体"/>
                <w:color w:val="000000"/>
                <w:kern w:val="0"/>
                <w:sz w:val="24"/>
              </w:rPr>
            </w:pPr>
            <w:r>
              <w:rPr>
                <w:rFonts w:ascii="仿宋" w:hAnsi="仿宋" w:eastAsia="仿宋" w:cs="宋体"/>
                <w:color w:val="000000"/>
                <w:kern w:val="0"/>
                <w:sz w:val="24"/>
              </w:rPr>
              <w:t xml:space="preserve">    </w:t>
            </w:r>
            <w:r>
              <w:rPr>
                <w:rFonts w:hint="eastAsia" w:ascii="仿宋" w:hAnsi="仿宋" w:eastAsia="仿宋" w:cs="宋体"/>
                <w:color w:val="000000"/>
                <w:kern w:val="0"/>
                <w:sz w:val="24"/>
              </w:rPr>
              <w:t>职工基本医疗保险基金支出</w:t>
            </w:r>
          </w:p>
        </w:tc>
        <w:tc>
          <w:tcPr>
            <w:tcW w:w="2217" w:type="dxa"/>
            <w:tcBorders>
              <w:top w:val="nil"/>
              <w:left w:val="nil"/>
              <w:bottom w:val="single" w:color="auto" w:sz="4" w:space="0"/>
              <w:right w:val="single" w:color="auto" w:sz="4" w:space="0"/>
            </w:tcBorders>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771</w:t>
            </w:r>
          </w:p>
        </w:tc>
      </w:tr>
      <w:tr>
        <w:tblPrEx>
          <w:tblCellMar>
            <w:top w:w="0" w:type="dxa"/>
            <w:left w:w="108" w:type="dxa"/>
            <w:bottom w:w="0" w:type="dxa"/>
            <w:right w:w="108" w:type="dxa"/>
          </w:tblCellMar>
        </w:tblPrEx>
        <w:trPr>
          <w:trHeight w:val="499" w:hRule="atLeast"/>
        </w:trPr>
        <w:tc>
          <w:tcPr>
            <w:tcW w:w="2013"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宋体"/>
                <w:color w:val="000000"/>
                <w:kern w:val="0"/>
                <w:sz w:val="24"/>
              </w:rPr>
            </w:pPr>
            <w:r>
              <w:rPr>
                <w:rFonts w:ascii="仿宋" w:hAnsi="仿宋" w:eastAsia="仿宋" w:cs="宋体"/>
                <w:color w:val="000000"/>
                <w:kern w:val="0"/>
                <w:sz w:val="24"/>
              </w:rPr>
              <w:t>2090301</w:t>
            </w:r>
          </w:p>
        </w:tc>
        <w:tc>
          <w:tcPr>
            <w:tcW w:w="3850" w:type="dxa"/>
            <w:tcBorders>
              <w:top w:val="nil"/>
              <w:left w:val="nil"/>
              <w:bottom w:val="single" w:color="auto" w:sz="4" w:space="0"/>
              <w:right w:val="single" w:color="auto" w:sz="4" w:space="0"/>
            </w:tcBorders>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w:t>
            </w:r>
            <w:r>
              <w:rPr>
                <w:rFonts w:ascii="仿宋" w:hAnsi="仿宋" w:eastAsia="仿宋" w:cs="宋体"/>
                <w:color w:val="000000"/>
                <w:kern w:val="0"/>
                <w:sz w:val="24"/>
              </w:rPr>
              <w:t xml:space="preserve">  </w:t>
            </w:r>
            <w:r>
              <w:rPr>
                <w:rFonts w:hint="eastAsia" w:ascii="仿宋" w:hAnsi="仿宋" w:eastAsia="仿宋" w:cs="宋体"/>
                <w:color w:val="000000"/>
                <w:kern w:val="0"/>
                <w:sz w:val="24"/>
              </w:rPr>
              <w:t>职工基本医疗保险统筹基金</w:t>
            </w:r>
          </w:p>
        </w:tc>
        <w:tc>
          <w:tcPr>
            <w:tcW w:w="2217" w:type="dxa"/>
            <w:tcBorders>
              <w:top w:val="nil"/>
              <w:left w:val="nil"/>
              <w:bottom w:val="single" w:color="auto" w:sz="4" w:space="0"/>
              <w:right w:val="single" w:color="auto" w:sz="4" w:space="0"/>
            </w:tcBorders>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771</w:t>
            </w:r>
          </w:p>
        </w:tc>
      </w:tr>
      <w:tr>
        <w:tblPrEx>
          <w:tblCellMar>
            <w:top w:w="0" w:type="dxa"/>
            <w:left w:w="108" w:type="dxa"/>
            <w:bottom w:w="0" w:type="dxa"/>
            <w:right w:w="108" w:type="dxa"/>
          </w:tblCellMar>
        </w:tblPrEx>
        <w:trPr>
          <w:trHeight w:val="499" w:hRule="atLeast"/>
        </w:trPr>
        <w:tc>
          <w:tcPr>
            <w:tcW w:w="2013"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24"/>
              </w:rPr>
            </w:pPr>
            <w:r>
              <w:rPr>
                <w:rFonts w:ascii="仿宋" w:hAnsi="仿宋" w:eastAsia="仿宋" w:cs="宋体"/>
                <w:color w:val="000000"/>
                <w:kern w:val="0"/>
                <w:sz w:val="24"/>
              </w:rPr>
              <w:t>20911</w:t>
            </w:r>
          </w:p>
        </w:tc>
        <w:tc>
          <w:tcPr>
            <w:tcW w:w="3850" w:type="dxa"/>
            <w:tcBorders>
              <w:top w:val="nil"/>
              <w:left w:val="nil"/>
              <w:bottom w:val="single" w:color="auto" w:sz="4" w:space="0"/>
              <w:right w:val="single" w:color="auto" w:sz="4" w:space="0"/>
            </w:tcBorders>
            <w:vAlign w:val="center"/>
          </w:tcPr>
          <w:p>
            <w:pPr>
              <w:widowControl/>
              <w:rPr>
                <w:rFonts w:ascii="仿宋" w:hAnsi="仿宋" w:eastAsia="仿宋" w:cs="宋体"/>
                <w:color w:val="000000"/>
                <w:kern w:val="0"/>
                <w:sz w:val="24"/>
              </w:rPr>
            </w:pPr>
            <w:r>
              <w:rPr>
                <w:rFonts w:ascii="仿宋" w:hAnsi="仿宋" w:eastAsia="仿宋" w:cs="宋体"/>
                <w:color w:val="000000"/>
                <w:kern w:val="0"/>
                <w:sz w:val="24"/>
              </w:rPr>
              <w:t xml:space="preserve">    </w:t>
            </w:r>
            <w:r>
              <w:rPr>
                <w:rFonts w:hint="eastAsia" w:ascii="仿宋" w:hAnsi="仿宋" w:eastAsia="仿宋" w:cs="宋体"/>
                <w:color w:val="000000"/>
                <w:kern w:val="0"/>
                <w:sz w:val="24"/>
              </w:rPr>
              <w:t>机关事业养老保险基金支出</w:t>
            </w:r>
          </w:p>
        </w:tc>
        <w:tc>
          <w:tcPr>
            <w:tcW w:w="2217" w:type="dxa"/>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xml:space="preserve">              25</w:t>
            </w:r>
          </w:p>
        </w:tc>
      </w:tr>
      <w:tr>
        <w:tblPrEx>
          <w:tblCellMar>
            <w:top w:w="0" w:type="dxa"/>
            <w:left w:w="108" w:type="dxa"/>
            <w:bottom w:w="0" w:type="dxa"/>
            <w:right w:w="108" w:type="dxa"/>
          </w:tblCellMar>
        </w:tblPrEx>
        <w:trPr>
          <w:trHeight w:val="499" w:hRule="atLeast"/>
        </w:trPr>
        <w:tc>
          <w:tcPr>
            <w:tcW w:w="2013"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24"/>
              </w:rPr>
            </w:pPr>
            <w:r>
              <w:rPr>
                <w:rFonts w:ascii="仿宋" w:hAnsi="仿宋" w:eastAsia="仿宋" w:cs="宋体"/>
                <w:b/>
                <w:bCs/>
                <w:color w:val="000000"/>
                <w:kern w:val="0"/>
                <w:sz w:val="24"/>
              </w:rPr>
              <w:t>2</w:t>
            </w:r>
            <w:r>
              <w:rPr>
                <w:rFonts w:hint="eastAsia" w:ascii="仿宋" w:hAnsi="仿宋" w:eastAsia="仿宋" w:cs="宋体"/>
                <w:b/>
                <w:bCs/>
                <w:color w:val="000000"/>
                <w:kern w:val="0"/>
                <w:sz w:val="24"/>
              </w:rPr>
              <w:t>30</w:t>
            </w:r>
          </w:p>
        </w:tc>
        <w:tc>
          <w:tcPr>
            <w:tcW w:w="3850" w:type="dxa"/>
            <w:tcBorders>
              <w:top w:val="nil"/>
              <w:left w:val="nil"/>
              <w:bottom w:val="single" w:color="auto" w:sz="4" w:space="0"/>
              <w:right w:val="single" w:color="auto" w:sz="4" w:space="0"/>
            </w:tcBorders>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转移性支出</w:t>
            </w:r>
          </w:p>
        </w:tc>
        <w:tc>
          <w:tcPr>
            <w:tcW w:w="2217" w:type="dxa"/>
            <w:tcBorders>
              <w:top w:val="nil"/>
              <w:left w:val="nil"/>
              <w:bottom w:val="single" w:color="auto" w:sz="4" w:space="0"/>
              <w:right w:val="single" w:color="auto" w:sz="4" w:space="0"/>
            </w:tcBorders>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371</w:t>
            </w:r>
          </w:p>
        </w:tc>
      </w:tr>
      <w:tr>
        <w:tblPrEx>
          <w:tblCellMar>
            <w:top w:w="0" w:type="dxa"/>
            <w:left w:w="108" w:type="dxa"/>
            <w:bottom w:w="0" w:type="dxa"/>
            <w:right w:w="108" w:type="dxa"/>
          </w:tblCellMar>
        </w:tblPrEx>
        <w:trPr>
          <w:trHeight w:val="499" w:hRule="atLeast"/>
        </w:trPr>
        <w:tc>
          <w:tcPr>
            <w:tcW w:w="2013"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24"/>
              </w:rPr>
            </w:pPr>
            <w:r>
              <w:rPr>
                <w:rFonts w:ascii="仿宋" w:hAnsi="仿宋" w:eastAsia="仿宋" w:cs="宋体"/>
                <w:color w:val="000000"/>
                <w:kern w:val="0"/>
                <w:sz w:val="24"/>
              </w:rPr>
              <w:t>2</w:t>
            </w:r>
            <w:r>
              <w:rPr>
                <w:rFonts w:hint="eastAsia" w:ascii="仿宋" w:hAnsi="仿宋" w:eastAsia="仿宋" w:cs="宋体"/>
                <w:color w:val="000000"/>
                <w:kern w:val="0"/>
                <w:sz w:val="24"/>
              </w:rPr>
              <w:t>3017</w:t>
            </w:r>
          </w:p>
        </w:tc>
        <w:tc>
          <w:tcPr>
            <w:tcW w:w="3850" w:type="dxa"/>
            <w:tcBorders>
              <w:top w:val="nil"/>
              <w:left w:val="nil"/>
              <w:bottom w:val="single" w:color="auto" w:sz="4" w:space="0"/>
              <w:right w:val="single" w:color="auto" w:sz="4" w:space="0"/>
            </w:tcBorders>
            <w:vAlign w:val="center"/>
          </w:tcPr>
          <w:p>
            <w:pPr>
              <w:widowControl/>
              <w:rPr>
                <w:rFonts w:ascii="仿宋" w:hAnsi="仿宋" w:eastAsia="仿宋" w:cs="宋体"/>
                <w:color w:val="000000"/>
                <w:kern w:val="0"/>
                <w:sz w:val="24"/>
              </w:rPr>
            </w:pPr>
            <w:r>
              <w:rPr>
                <w:rFonts w:ascii="仿宋" w:hAnsi="仿宋" w:eastAsia="仿宋" w:cs="宋体"/>
                <w:color w:val="000000"/>
                <w:kern w:val="0"/>
                <w:sz w:val="24"/>
              </w:rPr>
              <w:t xml:space="preserve">    </w:t>
            </w:r>
            <w:r>
              <w:rPr>
                <w:rFonts w:hint="eastAsia" w:ascii="仿宋" w:hAnsi="仿宋" w:eastAsia="仿宋" w:cs="宋体"/>
                <w:color w:val="000000"/>
                <w:kern w:val="0"/>
                <w:sz w:val="24"/>
              </w:rPr>
              <w:t>社会保险基金上解下拨支出</w:t>
            </w:r>
          </w:p>
        </w:tc>
        <w:tc>
          <w:tcPr>
            <w:tcW w:w="2217" w:type="dxa"/>
            <w:tcBorders>
              <w:top w:val="nil"/>
              <w:left w:val="nil"/>
              <w:bottom w:val="single" w:color="auto" w:sz="4" w:space="0"/>
              <w:right w:val="single" w:color="auto" w:sz="4" w:space="0"/>
            </w:tcBorders>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310</w:t>
            </w:r>
          </w:p>
        </w:tc>
      </w:tr>
      <w:tr>
        <w:tblPrEx>
          <w:tblCellMar>
            <w:top w:w="0" w:type="dxa"/>
            <w:left w:w="108" w:type="dxa"/>
            <w:bottom w:w="0" w:type="dxa"/>
            <w:right w:w="108" w:type="dxa"/>
          </w:tblCellMar>
        </w:tblPrEx>
        <w:trPr>
          <w:trHeight w:val="499" w:hRule="atLeast"/>
        </w:trPr>
        <w:tc>
          <w:tcPr>
            <w:tcW w:w="2013"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宋体"/>
                <w:color w:val="000000"/>
                <w:kern w:val="0"/>
                <w:sz w:val="24"/>
              </w:rPr>
            </w:pPr>
            <w:r>
              <w:rPr>
                <w:rFonts w:ascii="仿宋" w:hAnsi="仿宋" w:eastAsia="仿宋" w:cs="宋体"/>
                <w:color w:val="000000"/>
                <w:kern w:val="0"/>
                <w:sz w:val="24"/>
              </w:rPr>
              <w:t>2</w:t>
            </w:r>
            <w:r>
              <w:rPr>
                <w:rFonts w:hint="eastAsia" w:ascii="仿宋" w:hAnsi="仿宋" w:eastAsia="仿宋" w:cs="宋体"/>
                <w:color w:val="000000"/>
                <w:kern w:val="0"/>
                <w:sz w:val="24"/>
              </w:rPr>
              <w:t>301703</w:t>
            </w:r>
          </w:p>
        </w:tc>
        <w:tc>
          <w:tcPr>
            <w:tcW w:w="3850" w:type="dxa"/>
            <w:tcBorders>
              <w:top w:val="nil"/>
              <w:left w:val="nil"/>
              <w:bottom w:val="single" w:color="auto" w:sz="4" w:space="0"/>
              <w:right w:val="single" w:color="auto" w:sz="4" w:space="0"/>
            </w:tcBorders>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w:t>
            </w:r>
            <w:r>
              <w:rPr>
                <w:rFonts w:ascii="仿宋" w:hAnsi="仿宋" w:eastAsia="仿宋" w:cs="宋体"/>
                <w:color w:val="000000"/>
                <w:kern w:val="0"/>
                <w:sz w:val="24"/>
              </w:rPr>
              <w:t xml:space="preserve">  </w:t>
            </w:r>
            <w:r>
              <w:rPr>
                <w:rFonts w:hint="eastAsia" w:ascii="仿宋" w:hAnsi="仿宋" w:eastAsia="仿宋" w:cs="宋体"/>
                <w:color w:val="000000"/>
                <w:kern w:val="0"/>
                <w:sz w:val="24"/>
              </w:rPr>
              <w:t>社会保险基金上解上级支出</w:t>
            </w:r>
          </w:p>
        </w:tc>
        <w:tc>
          <w:tcPr>
            <w:tcW w:w="2217" w:type="dxa"/>
            <w:tcBorders>
              <w:top w:val="nil"/>
              <w:left w:val="nil"/>
              <w:bottom w:val="single" w:color="auto" w:sz="4" w:space="0"/>
              <w:right w:val="single" w:color="auto" w:sz="4" w:space="0"/>
            </w:tcBorders>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310</w:t>
            </w:r>
          </w:p>
        </w:tc>
      </w:tr>
      <w:tr>
        <w:tblPrEx>
          <w:tblCellMar>
            <w:top w:w="0" w:type="dxa"/>
            <w:left w:w="108" w:type="dxa"/>
            <w:bottom w:w="0" w:type="dxa"/>
            <w:right w:w="108" w:type="dxa"/>
          </w:tblCellMar>
        </w:tblPrEx>
        <w:trPr>
          <w:trHeight w:val="499" w:hRule="atLeast"/>
        </w:trPr>
        <w:tc>
          <w:tcPr>
            <w:tcW w:w="2013"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24"/>
              </w:rPr>
            </w:pPr>
            <w:r>
              <w:rPr>
                <w:rFonts w:ascii="仿宋" w:hAnsi="仿宋" w:eastAsia="仿宋" w:cs="宋体"/>
                <w:color w:val="000000"/>
                <w:kern w:val="0"/>
                <w:sz w:val="24"/>
              </w:rPr>
              <w:t>2</w:t>
            </w:r>
            <w:r>
              <w:rPr>
                <w:rFonts w:hint="eastAsia" w:ascii="仿宋" w:hAnsi="仿宋" w:eastAsia="仿宋" w:cs="宋体"/>
                <w:color w:val="000000"/>
                <w:kern w:val="0"/>
                <w:sz w:val="24"/>
              </w:rPr>
              <w:t>3017</w:t>
            </w:r>
          </w:p>
        </w:tc>
        <w:tc>
          <w:tcPr>
            <w:tcW w:w="3850" w:type="dxa"/>
            <w:tcBorders>
              <w:top w:val="nil"/>
              <w:left w:val="nil"/>
              <w:bottom w:val="single" w:color="auto" w:sz="4" w:space="0"/>
              <w:right w:val="single" w:color="auto" w:sz="4" w:space="0"/>
            </w:tcBorders>
            <w:vAlign w:val="center"/>
          </w:tcPr>
          <w:p>
            <w:pPr>
              <w:widowControl/>
              <w:rPr>
                <w:rFonts w:ascii="仿宋" w:hAnsi="仿宋" w:eastAsia="仿宋" w:cs="宋体"/>
                <w:color w:val="000000"/>
                <w:kern w:val="0"/>
                <w:sz w:val="24"/>
              </w:rPr>
            </w:pPr>
            <w:r>
              <w:rPr>
                <w:rFonts w:ascii="仿宋" w:hAnsi="仿宋" w:eastAsia="仿宋" w:cs="宋体"/>
                <w:color w:val="000000"/>
                <w:kern w:val="0"/>
                <w:sz w:val="24"/>
              </w:rPr>
              <w:t xml:space="preserve">    </w:t>
            </w:r>
            <w:r>
              <w:rPr>
                <w:rFonts w:hint="eastAsia" w:ascii="仿宋" w:hAnsi="仿宋" w:eastAsia="仿宋" w:cs="宋体"/>
                <w:color w:val="000000"/>
                <w:kern w:val="0"/>
                <w:sz w:val="24"/>
              </w:rPr>
              <w:t>社会保险基金转移支出</w:t>
            </w:r>
          </w:p>
        </w:tc>
        <w:tc>
          <w:tcPr>
            <w:tcW w:w="2217" w:type="dxa"/>
            <w:tcBorders>
              <w:top w:val="nil"/>
              <w:left w:val="nil"/>
              <w:bottom w:val="single" w:color="auto" w:sz="4" w:space="0"/>
              <w:right w:val="single" w:color="auto" w:sz="4" w:space="0"/>
            </w:tcBorders>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61</w:t>
            </w:r>
          </w:p>
        </w:tc>
      </w:tr>
    </w:tbl>
    <w:p>
      <w:pPr>
        <w:spacing w:line="360" w:lineRule="auto"/>
        <w:jc w:val="center"/>
        <w:rPr>
          <w:rFonts w:ascii="仿宋_GB2312" w:eastAsia="仿宋_GB2312"/>
          <w:b/>
          <w:color w:val="000000" w:themeColor="text1"/>
          <w:sz w:val="30"/>
          <w:szCs w:val="30"/>
        </w:rPr>
      </w:pPr>
    </w:p>
    <w:p>
      <w:pPr>
        <w:spacing w:line="360" w:lineRule="auto"/>
        <w:jc w:val="center"/>
        <w:rPr>
          <w:rFonts w:ascii="仿宋_GB2312" w:eastAsia="仿宋_GB2312"/>
          <w:b/>
          <w:color w:val="000000" w:themeColor="text1"/>
          <w:sz w:val="30"/>
          <w:szCs w:val="30"/>
        </w:rPr>
      </w:pPr>
    </w:p>
    <w:p>
      <w:pPr>
        <w:spacing w:line="360" w:lineRule="auto"/>
        <w:jc w:val="center"/>
        <w:rPr>
          <w:rFonts w:ascii="仿宋_GB2312" w:eastAsia="仿宋_GB2312"/>
          <w:b/>
          <w:color w:val="000000" w:themeColor="text1"/>
          <w:sz w:val="30"/>
          <w:szCs w:val="30"/>
        </w:rPr>
      </w:pPr>
    </w:p>
    <w:p>
      <w:pPr>
        <w:spacing w:line="360" w:lineRule="auto"/>
        <w:jc w:val="center"/>
        <w:rPr>
          <w:rFonts w:ascii="仿宋_GB2312" w:eastAsia="仿宋_GB2312"/>
          <w:b/>
          <w:color w:val="000000" w:themeColor="text1"/>
          <w:sz w:val="30"/>
          <w:szCs w:val="30"/>
        </w:rPr>
      </w:pPr>
    </w:p>
    <w:p>
      <w:pPr>
        <w:ind w:firstLine="600" w:firstLineChars="200"/>
        <w:rPr>
          <w:rFonts w:ascii="仿宋_GB2312" w:eastAsia="仿宋_GB2312"/>
          <w:color w:val="000000" w:themeColor="text1"/>
          <w:sz w:val="30"/>
          <w:szCs w:val="30"/>
        </w:rPr>
      </w:pPr>
    </w:p>
    <w:p>
      <w:pPr>
        <w:ind w:firstLine="600" w:firstLineChars="200"/>
        <w:rPr>
          <w:rFonts w:ascii="仿宋_GB2312" w:eastAsia="仿宋_GB2312"/>
          <w:color w:val="000000" w:themeColor="text1"/>
          <w:sz w:val="30"/>
          <w:szCs w:val="30"/>
        </w:rPr>
      </w:pPr>
    </w:p>
    <w:p>
      <w:pPr>
        <w:ind w:firstLine="600" w:firstLineChars="200"/>
        <w:rPr>
          <w:rFonts w:ascii="仿宋_GB2312" w:eastAsia="仿宋_GB2312"/>
          <w:color w:val="000000" w:themeColor="text1"/>
          <w:sz w:val="30"/>
          <w:szCs w:val="30"/>
        </w:rPr>
      </w:pPr>
    </w:p>
    <w:p>
      <w:pPr>
        <w:ind w:firstLine="600" w:firstLineChars="200"/>
        <w:rPr>
          <w:rFonts w:ascii="仿宋_GB2312" w:eastAsia="仿宋_GB2312"/>
          <w:color w:val="000000" w:themeColor="text1"/>
          <w:sz w:val="30"/>
          <w:szCs w:val="30"/>
        </w:rPr>
      </w:pPr>
    </w:p>
    <w:p>
      <w:pPr>
        <w:pStyle w:val="3"/>
        <w:jc w:val="center"/>
        <w:rPr>
          <w:rFonts w:ascii="仿宋_GB2312" w:eastAsia="仿宋_GB2312"/>
          <w:b w:val="0"/>
          <w:color w:val="000000" w:themeColor="text1"/>
        </w:rPr>
      </w:pPr>
      <w:bookmarkStart w:id="40" w:name="_Toc60126009"/>
      <w:bookmarkStart w:id="41" w:name="_Toc500947609"/>
      <w:r>
        <w:rPr>
          <w:rFonts w:hint="eastAsia" w:ascii="仿宋_GB2312" w:eastAsia="仿宋_GB2312"/>
          <w:color w:val="000000" w:themeColor="text1"/>
        </w:rPr>
        <w:t>第五部分</w:t>
      </w:r>
      <w:r>
        <w:rPr>
          <w:rFonts w:ascii="仿宋_GB2312" w:eastAsia="仿宋_GB2312"/>
          <w:color w:val="000000" w:themeColor="text1"/>
        </w:rPr>
        <w:t xml:space="preserve">  </w:t>
      </w:r>
      <w:r>
        <w:rPr>
          <w:rFonts w:hint="eastAsia" w:ascii="仿宋_GB2312" w:eastAsia="仿宋_GB2312"/>
          <w:color w:val="000000" w:themeColor="text1"/>
        </w:rPr>
        <w:t>2021年沧州临港经济技术开发区国有资本经营预算（草案）</w:t>
      </w:r>
      <w:bookmarkEnd w:id="40"/>
      <w:bookmarkEnd w:id="41"/>
    </w:p>
    <w:p>
      <w:pPr>
        <w:pStyle w:val="4"/>
        <w:jc w:val="center"/>
        <w:rPr>
          <w:rFonts w:ascii="仿宋_GB2312" w:eastAsia="仿宋_GB2312"/>
          <w:color w:val="000000" w:themeColor="text1"/>
        </w:rPr>
      </w:pPr>
      <w:bookmarkStart w:id="42" w:name="_Toc500947610"/>
      <w:bookmarkStart w:id="43" w:name="_Toc60126010"/>
      <w:r>
        <w:rPr>
          <w:rFonts w:hint="eastAsia" w:ascii="仿宋_GB2312" w:eastAsia="仿宋_GB2312"/>
          <w:color w:val="000000" w:themeColor="text1"/>
        </w:rPr>
        <w:t>§</w:t>
      </w:r>
      <w:r>
        <w:rPr>
          <w:rFonts w:ascii="仿宋_GB2312" w:eastAsia="仿宋_GB2312"/>
          <w:color w:val="000000" w:themeColor="text1"/>
        </w:rPr>
        <w:t xml:space="preserve">1  </w:t>
      </w:r>
      <w:r>
        <w:rPr>
          <w:rFonts w:hint="eastAsia" w:ascii="仿宋_GB2312" w:eastAsia="仿宋_GB2312"/>
          <w:color w:val="000000" w:themeColor="text1"/>
        </w:rPr>
        <w:t>2021年国有资本经营收支安排情况</w:t>
      </w:r>
      <w:bookmarkEnd w:id="42"/>
      <w:bookmarkEnd w:id="43"/>
    </w:p>
    <w:p>
      <w:pPr>
        <w:spacing w:line="360" w:lineRule="auto"/>
        <w:ind w:firstLine="600" w:firstLineChars="200"/>
        <w:rPr>
          <w:rFonts w:ascii="仿宋_GB2312" w:eastAsia="仿宋_GB2312"/>
          <w:sz w:val="30"/>
          <w:szCs w:val="30"/>
        </w:rPr>
      </w:pPr>
      <w:r>
        <w:rPr>
          <w:rFonts w:hint="eastAsia" w:ascii="仿宋_GB2312" w:eastAsia="仿宋_GB2312"/>
          <w:sz w:val="30"/>
          <w:szCs w:val="30"/>
        </w:rPr>
        <w:t xml:space="preserve">国有资本经营预算，是国家以所有者身份依法取得国有资本收益，并对所得收益进行分配而发生的各项收支预算。 </w:t>
      </w:r>
    </w:p>
    <w:p>
      <w:pPr>
        <w:spacing w:line="360" w:lineRule="auto"/>
        <w:ind w:firstLine="602" w:firstLineChars="200"/>
        <w:rPr>
          <w:rFonts w:ascii="仿宋_GB2312" w:eastAsia="仿宋_GB2312"/>
          <w:b/>
          <w:sz w:val="30"/>
          <w:szCs w:val="30"/>
        </w:rPr>
      </w:pPr>
      <w:r>
        <w:rPr>
          <w:rFonts w:hint="eastAsia" w:ascii="仿宋_GB2312" w:eastAsia="仿宋_GB2312"/>
          <w:b/>
          <w:sz w:val="30"/>
          <w:szCs w:val="30"/>
        </w:rPr>
        <w:t>一、区属企业资产及经营概况</w:t>
      </w:r>
    </w:p>
    <w:p>
      <w:pPr>
        <w:spacing w:line="360" w:lineRule="auto"/>
        <w:ind w:firstLine="600" w:firstLineChars="200"/>
        <w:rPr>
          <w:rFonts w:ascii="仿宋_GB2312" w:eastAsia="仿宋_GB2312"/>
          <w:sz w:val="30"/>
          <w:szCs w:val="30"/>
        </w:rPr>
      </w:pPr>
      <w:r>
        <w:rPr>
          <w:rFonts w:hint="eastAsia" w:ascii="仿宋_GB2312" w:eastAsia="仿宋_GB2312"/>
          <w:sz w:val="30"/>
          <w:szCs w:val="30"/>
        </w:rPr>
        <w:t xml:space="preserve">目前区属企业共计5户，截止2020年11月底全区区属企业资产总额26.25亿元、负债总额12.57亿元、所有者权益13.68亿元，实现净利润合计206万元。5户区属企业中，盈利企业1户、持平2户，亏损2户。 </w:t>
      </w: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pStyle w:val="4"/>
        <w:jc w:val="center"/>
        <w:rPr>
          <w:rFonts w:ascii="仿宋_GB2312" w:eastAsia="仿宋_GB2312"/>
          <w:color w:val="000000" w:themeColor="text1"/>
        </w:rPr>
      </w:pPr>
      <w:bookmarkStart w:id="44" w:name="_Toc60126011"/>
      <w:r>
        <w:rPr>
          <w:rFonts w:hint="eastAsia" w:ascii="仿宋_GB2312" w:eastAsia="仿宋_GB2312"/>
          <w:color w:val="000000" w:themeColor="text1"/>
        </w:rPr>
        <w:t>§2 区属企业基本情况表</w:t>
      </w:r>
      <w:bookmarkEnd w:id="44"/>
    </w:p>
    <w:p>
      <w:pPr>
        <w:spacing w:line="600" w:lineRule="exact"/>
        <w:jc w:val="center"/>
        <w:rPr>
          <w:rFonts w:ascii="仿宋" w:hAnsi="仿宋" w:eastAsia="仿宋" w:cs="仿宋"/>
          <w:bCs/>
          <w:sz w:val="36"/>
          <w:szCs w:val="36"/>
        </w:rPr>
      </w:pPr>
    </w:p>
    <w:tbl>
      <w:tblPr>
        <w:tblStyle w:val="15"/>
        <w:tblW w:w="512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92"/>
        <w:gridCol w:w="3199"/>
        <w:gridCol w:w="885"/>
        <w:gridCol w:w="1166"/>
        <w:gridCol w:w="1102"/>
        <w:gridCol w:w="802"/>
        <w:gridCol w:w="120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382" w:type="pct"/>
            <w:vAlign w:val="center"/>
          </w:tcPr>
          <w:p>
            <w:pPr>
              <w:jc w:val="center"/>
              <w:rPr>
                <w:rFonts w:ascii="宋体" w:hAnsi="宋体"/>
                <w:b/>
              </w:rPr>
            </w:pPr>
            <w:r>
              <w:rPr>
                <w:rFonts w:hint="eastAsia" w:ascii="宋体" w:hAnsi="宋体"/>
                <w:b/>
              </w:rPr>
              <w:t>序号</w:t>
            </w:r>
          </w:p>
        </w:tc>
        <w:tc>
          <w:tcPr>
            <w:tcW w:w="1766" w:type="pct"/>
            <w:vAlign w:val="center"/>
          </w:tcPr>
          <w:p>
            <w:pPr>
              <w:jc w:val="center"/>
              <w:rPr>
                <w:rFonts w:ascii="宋体" w:hAnsi="宋体"/>
                <w:b/>
              </w:rPr>
            </w:pPr>
            <w:r>
              <w:rPr>
                <w:rFonts w:hint="eastAsia" w:ascii="宋体" w:hAnsi="宋体"/>
                <w:b/>
              </w:rPr>
              <w:t>企业名称</w:t>
            </w:r>
          </w:p>
        </w:tc>
        <w:tc>
          <w:tcPr>
            <w:tcW w:w="489" w:type="pct"/>
            <w:vAlign w:val="center"/>
          </w:tcPr>
          <w:p>
            <w:pPr>
              <w:jc w:val="center"/>
              <w:rPr>
                <w:rFonts w:ascii="宋体" w:hAnsi="宋体"/>
                <w:b/>
              </w:rPr>
            </w:pPr>
            <w:r>
              <w:rPr>
                <w:rFonts w:hint="eastAsia" w:ascii="宋体" w:hAnsi="宋体"/>
                <w:b/>
              </w:rPr>
              <w:t>股权</w:t>
            </w:r>
          </w:p>
          <w:p>
            <w:pPr>
              <w:jc w:val="center"/>
              <w:rPr>
                <w:rFonts w:ascii="宋体" w:hAnsi="宋体"/>
                <w:b/>
              </w:rPr>
            </w:pPr>
            <w:r>
              <w:rPr>
                <w:rFonts w:hint="eastAsia" w:ascii="宋体" w:hAnsi="宋体"/>
                <w:b/>
              </w:rPr>
              <w:t>类型</w:t>
            </w:r>
          </w:p>
        </w:tc>
        <w:tc>
          <w:tcPr>
            <w:tcW w:w="644" w:type="pct"/>
            <w:vAlign w:val="center"/>
          </w:tcPr>
          <w:p>
            <w:pPr>
              <w:jc w:val="center"/>
              <w:rPr>
                <w:rFonts w:ascii="宋体" w:hAnsi="宋体"/>
                <w:b/>
              </w:rPr>
            </w:pPr>
            <w:r>
              <w:rPr>
                <w:rFonts w:hint="eastAsia" w:ascii="宋体" w:hAnsi="宋体"/>
                <w:b/>
              </w:rPr>
              <w:t>注册</w:t>
            </w:r>
          </w:p>
          <w:p>
            <w:pPr>
              <w:jc w:val="center"/>
              <w:rPr>
                <w:rFonts w:ascii="宋体" w:hAnsi="宋体"/>
                <w:b/>
              </w:rPr>
            </w:pPr>
            <w:r>
              <w:rPr>
                <w:rFonts w:hint="eastAsia" w:ascii="宋体" w:hAnsi="宋体"/>
                <w:b/>
              </w:rPr>
              <w:t>资本</w:t>
            </w:r>
          </w:p>
          <w:p>
            <w:pPr>
              <w:jc w:val="center"/>
              <w:rPr>
                <w:rFonts w:ascii="宋体" w:hAnsi="宋体"/>
                <w:b/>
              </w:rPr>
            </w:pPr>
            <w:r>
              <w:rPr>
                <w:rFonts w:hint="eastAsia" w:ascii="宋体" w:hAnsi="宋体"/>
                <w:b/>
              </w:rPr>
              <w:t>（万元）</w:t>
            </w:r>
          </w:p>
        </w:tc>
        <w:tc>
          <w:tcPr>
            <w:tcW w:w="609" w:type="pct"/>
            <w:vAlign w:val="center"/>
          </w:tcPr>
          <w:p>
            <w:pPr>
              <w:jc w:val="center"/>
              <w:rPr>
                <w:rFonts w:ascii="宋体" w:hAnsi="宋体"/>
                <w:b/>
              </w:rPr>
            </w:pPr>
            <w:r>
              <w:rPr>
                <w:rFonts w:hint="eastAsia" w:ascii="宋体" w:hAnsi="宋体"/>
                <w:b/>
              </w:rPr>
              <w:t>国有</w:t>
            </w:r>
          </w:p>
          <w:p>
            <w:pPr>
              <w:jc w:val="center"/>
              <w:rPr>
                <w:rFonts w:ascii="宋体" w:hAnsi="宋体"/>
                <w:b/>
              </w:rPr>
            </w:pPr>
            <w:r>
              <w:rPr>
                <w:rFonts w:hint="eastAsia" w:ascii="宋体" w:hAnsi="宋体"/>
                <w:b/>
              </w:rPr>
              <w:t>资本</w:t>
            </w:r>
          </w:p>
          <w:p>
            <w:pPr>
              <w:jc w:val="center"/>
              <w:rPr>
                <w:rFonts w:ascii="宋体" w:hAnsi="宋体"/>
                <w:b/>
              </w:rPr>
            </w:pPr>
            <w:r>
              <w:rPr>
                <w:rFonts w:hint="eastAsia" w:ascii="宋体" w:hAnsi="宋体"/>
                <w:b/>
              </w:rPr>
              <w:t>（万元）</w:t>
            </w:r>
          </w:p>
        </w:tc>
        <w:tc>
          <w:tcPr>
            <w:tcW w:w="442" w:type="pct"/>
            <w:vAlign w:val="center"/>
          </w:tcPr>
          <w:p>
            <w:pPr>
              <w:jc w:val="center"/>
              <w:rPr>
                <w:rFonts w:ascii="宋体" w:hAnsi="宋体"/>
                <w:b/>
              </w:rPr>
            </w:pPr>
            <w:r>
              <w:rPr>
                <w:rFonts w:hint="eastAsia" w:ascii="宋体" w:hAnsi="宋体"/>
                <w:b/>
              </w:rPr>
              <w:t>持股</w:t>
            </w:r>
          </w:p>
          <w:p>
            <w:pPr>
              <w:jc w:val="center"/>
              <w:rPr>
                <w:rFonts w:ascii="宋体" w:hAnsi="宋体"/>
                <w:b/>
              </w:rPr>
            </w:pPr>
            <w:r>
              <w:rPr>
                <w:rFonts w:hint="eastAsia" w:ascii="宋体" w:hAnsi="宋体"/>
                <w:b/>
              </w:rPr>
              <w:t>比例</w:t>
            </w:r>
          </w:p>
          <w:p>
            <w:pPr>
              <w:jc w:val="center"/>
              <w:rPr>
                <w:rFonts w:ascii="宋体" w:hAnsi="宋体"/>
                <w:b/>
              </w:rPr>
            </w:pPr>
            <w:r>
              <w:rPr>
                <w:rFonts w:hint="eastAsia" w:ascii="宋体" w:hAnsi="宋体"/>
                <w:b/>
              </w:rPr>
              <w:t>（%）</w:t>
            </w:r>
          </w:p>
        </w:tc>
        <w:tc>
          <w:tcPr>
            <w:tcW w:w="665" w:type="pct"/>
            <w:vAlign w:val="center"/>
          </w:tcPr>
          <w:p>
            <w:pPr>
              <w:jc w:val="center"/>
              <w:rPr>
                <w:rFonts w:ascii="宋体" w:hAnsi="宋体"/>
                <w:b/>
              </w:rPr>
            </w:pPr>
            <w:r>
              <w:rPr>
                <w:rFonts w:hint="eastAsia" w:ascii="宋体" w:hAnsi="宋体"/>
                <w:b/>
              </w:rPr>
              <w:t>净利润</w:t>
            </w:r>
          </w:p>
          <w:p>
            <w:pPr>
              <w:jc w:val="center"/>
              <w:rPr>
                <w:rFonts w:ascii="宋体" w:hAnsi="宋体"/>
                <w:b/>
              </w:rPr>
            </w:pPr>
            <w:r>
              <w:rPr>
                <w:rFonts w:hint="eastAsia" w:ascii="宋体" w:hAnsi="宋体"/>
                <w:b/>
              </w:rPr>
              <w:t>（万元）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382" w:type="pct"/>
            <w:vAlign w:val="center"/>
          </w:tcPr>
          <w:p>
            <w:pPr>
              <w:jc w:val="center"/>
              <w:rPr>
                <w:rFonts w:ascii="仿宋" w:hAnsi="仿宋" w:eastAsia="仿宋" w:cs="宋体"/>
                <w:color w:val="000000"/>
                <w:kern w:val="0"/>
                <w:sz w:val="24"/>
              </w:rPr>
            </w:pPr>
            <w:r>
              <w:rPr>
                <w:rFonts w:hint="eastAsia" w:ascii="仿宋" w:hAnsi="仿宋" w:eastAsia="仿宋" w:cs="宋体"/>
                <w:color w:val="000000"/>
                <w:kern w:val="0"/>
                <w:sz w:val="24"/>
              </w:rPr>
              <w:t>1</w:t>
            </w:r>
          </w:p>
        </w:tc>
        <w:tc>
          <w:tcPr>
            <w:tcW w:w="1766" w:type="pct"/>
            <w:vAlign w:val="center"/>
          </w:tcPr>
          <w:p>
            <w:pPr>
              <w:rPr>
                <w:rFonts w:ascii="仿宋" w:hAnsi="仿宋" w:eastAsia="仿宋" w:cs="宋体"/>
                <w:color w:val="000000"/>
                <w:kern w:val="0"/>
                <w:sz w:val="24"/>
              </w:rPr>
            </w:pPr>
            <w:r>
              <w:rPr>
                <w:rFonts w:hint="eastAsia" w:ascii="仿宋" w:hAnsi="仿宋" w:eastAsia="仿宋" w:cs="宋体"/>
                <w:color w:val="000000"/>
                <w:kern w:val="0"/>
                <w:sz w:val="24"/>
              </w:rPr>
              <w:t>沧州临港新起点房屋经营管理有限公司</w:t>
            </w:r>
          </w:p>
        </w:tc>
        <w:tc>
          <w:tcPr>
            <w:tcW w:w="489" w:type="pct"/>
            <w:vAlign w:val="center"/>
          </w:tcPr>
          <w:p>
            <w:pPr>
              <w:jc w:val="center"/>
              <w:rPr>
                <w:rFonts w:ascii="仿宋" w:hAnsi="仿宋" w:eastAsia="仿宋" w:cs="宋体"/>
                <w:color w:val="000000"/>
                <w:kern w:val="0"/>
                <w:sz w:val="24"/>
              </w:rPr>
            </w:pPr>
            <w:r>
              <w:rPr>
                <w:rFonts w:hint="eastAsia" w:ascii="仿宋" w:hAnsi="仿宋" w:eastAsia="仿宋" w:cs="宋体"/>
                <w:color w:val="000000"/>
                <w:kern w:val="0"/>
                <w:sz w:val="24"/>
              </w:rPr>
              <w:t>独资</w:t>
            </w:r>
          </w:p>
        </w:tc>
        <w:tc>
          <w:tcPr>
            <w:tcW w:w="644" w:type="pct"/>
            <w:vAlign w:val="center"/>
          </w:tcPr>
          <w:p>
            <w:pPr>
              <w:jc w:val="right"/>
              <w:rPr>
                <w:rFonts w:ascii="仿宋" w:hAnsi="仿宋" w:eastAsia="仿宋" w:cs="宋体"/>
                <w:color w:val="000000"/>
                <w:kern w:val="0"/>
                <w:sz w:val="24"/>
              </w:rPr>
            </w:pPr>
            <w:r>
              <w:rPr>
                <w:rFonts w:hint="eastAsia" w:ascii="仿宋" w:hAnsi="仿宋" w:eastAsia="仿宋" w:cs="宋体"/>
                <w:color w:val="000000"/>
                <w:kern w:val="0"/>
                <w:sz w:val="24"/>
              </w:rPr>
              <w:t>300</w:t>
            </w:r>
          </w:p>
        </w:tc>
        <w:tc>
          <w:tcPr>
            <w:tcW w:w="609" w:type="pct"/>
            <w:vAlign w:val="center"/>
          </w:tcPr>
          <w:p>
            <w:pPr>
              <w:jc w:val="right"/>
              <w:rPr>
                <w:rFonts w:ascii="仿宋" w:hAnsi="仿宋" w:eastAsia="仿宋" w:cs="宋体"/>
                <w:color w:val="000000"/>
                <w:kern w:val="0"/>
                <w:sz w:val="24"/>
              </w:rPr>
            </w:pPr>
            <w:r>
              <w:rPr>
                <w:rFonts w:hint="eastAsia" w:ascii="仿宋" w:hAnsi="仿宋" w:eastAsia="仿宋" w:cs="宋体"/>
                <w:color w:val="000000"/>
                <w:kern w:val="0"/>
                <w:sz w:val="24"/>
              </w:rPr>
              <w:t>300</w:t>
            </w:r>
          </w:p>
        </w:tc>
        <w:tc>
          <w:tcPr>
            <w:tcW w:w="442" w:type="pct"/>
            <w:vAlign w:val="center"/>
          </w:tcPr>
          <w:p>
            <w:pPr>
              <w:jc w:val="center"/>
              <w:rPr>
                <w:rFonts w:ascii="仿宋" w:hAnsi="仿宋" w:eastAsia="仿宋" w:cs="宋体"/>
                <w:color w:val="000000"/>
                <w:kern w:val="0"/>
                <w:sz w:val="24"/>
              </w:rPr>
            </w:pPr>
            <w:r>
              <w:rPr>
                <w:rFonts w:hint="eastAsia" w:ascii="仿宋" w:hAnsi="仿宋" w:eastAsia="仿宋" w:cs="宋体"/>
                <w:color w:val="000000"/>
                <w:kern w:val="0"/>
                <w:sz w:val="24"/>
              </w:rPr>
              <w:t>100</w:t>
            </w:r>
          </w:p>
        </w:tc>
        <w:tc>
          <w:tcPr>
            <w:tcW w:w="665" w:type="pct"/>
            <w:vAlign w:val="center"/>
          </w:tcPr>
          <w:p>
            <w:pPr>
              <w:jc w:val="right"/>
              <w:rPr>
                <w:rFonts w:ascii="仿宋" w:hAnsi="仿宋" w:eastAsia="仿宋" w:cs="宋体"/>
                <w:color w:val="000000"/>
                <w:kern w:val="0"/>
                <w:sz w:val="24"/>
              </w:rPr>
            </w:pPr>
            <w:r>
              <w:rPr>
                <w:rFonts w:hint="eastAsia" w:ascii="仿宋" w:hAnsi="仿宋" w:eastAsia="仿宋" w:cs="宋体"/>
                <w:color w:val="000000"/>
                <w:kern w:val="0"/>
                <w:sz w:val="24"/>
              </w:rPr>
              <w:t>-69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382" w:type="pct"/>
            <w:vAlign w:val="center"/>
          </w:tcPr>
          <w:p>
            <w:pPr>
              <w:jc w:val="center"/>
              <w:rPr>
                <w:rFonts w:ascii="仿宋" w:hAnsi="仿宋" w:eastAsia="仿宋" w:cs="宋体"/>
                <w:color w:val="000000"/>
                <w:kern w:val="0"/>
                <w:sz w:val="24"/>
              </w:rPr>
            </w:pPr>
            <w:r>
              <w:rPr>
                <w:rFonts w:hint="eastAsia" w:ascii="仿宋" w:hAnsi="仿宋" w:eastAsia="仿宋" w:cs="宋体"/>
                <w:color w:val="000000"/>
                <w:kern w:val="0"/>
                <w:sz w:val="24"/>
              </w:rPr>
              <w:t>2</w:t>
            </w:r>
          </w:p>
        </w:tc>
        <w:tc>
          <w:tcPr>
            <w:tcW w:w="1766" w:type="pct"/>
            <w:vAlign w:val="center"/>
          </w:tcPr>
          <w:p>
            <w:pPr>
              <w:rPr>
                <w:rFonts w:ascii="仿宋" w:hAnsi="仿宋" w:eastAsia="仿宋" w:cs="宋体"/>
                <w:color w:val="000000"/>
                <w:kern w:val="0"/>
                <w:sz w:val="24"/>
              </w:rPr>
            </w:pPr>
            <w:r>
              <w:rPr>
                <w:rFonts w:hint="eastAsia" w:ascii="仿宋" w:hAnsi="仿宋" w:eastAsia="仿宋" w:cs="宋体"/>
                <w:color w:val="000000"/>
                <w:kern w:val="0"/>
                <w:sz w:val="24"/>
              </w:rPr>
              <w:t>沧州临港兴化城市建设投资集团有限公司</w:t>
            </w:r>
          </w:p>
        </w:tc>
        <w:tc>
          <w:tcPr>
            <w:tcW w:w="489" w:type="pct"/>
            <w:vAlign w:val="center"/>
          </w:tcPr>
          <w:p>
            <w:pPr>
              <w:jc w:val="center"/>
              <w:rPr>
                <w:rFonts w:ascii="仿宋" w:hAnsi="仿宋" w:eastAsia="仿宋" w:cs="宋体"/>
                <w:color w:val="000000"/>
                <w:kern w:val="0"/>
                <w:sz w:val="24"/>
              </w:rPr>
            </w:pPr>
            <w:r>
              <w:rPr>
                <w:rFonts w:hint="eastAsia" w:ascii="仿宋" w:hAnsi="仿宋" w:eastAsia="仿宋" w:cs="宋体"/>
                <w:color w:val="000000"/>
                <w:kern w:val="0"/>
                <w:sz w:val="24"/>
              </w:rPr>
              <w:t>独资</w:t>
            </w:r>
          </w:p>
        </w:tc>
        <w:tc>
          <w:tcPr>
            <w:tcW w:w="644" w:type="pct"/>
            <w:vAlign w:val="center"/>
          </w:tcPr>
          <w:p>
            <w:pPr>
              <w:jc w:val="right"/>
              <w:rPr>
                <w:rFonts w:ascii="仿宋" w:hAnsi="仿宋" w:eastAsia="仿宋" w:cs="宋体"/>
                <w:color w:val="000000"/>
                <w:kern w:val="0"/>
                <w:sz w:val="24"/>
              </w:rPr>
            </w:pPr>
            <w:r>
              <w:rPr>
                <w:rFonts w:hint="eastAsia" w:ascii="仿宋" w:hAnsi="仿宋" w:eastAsia="仿宋" w:cs="宋体"/>
                <w:color w:val="000000"/>
                <w:kern w:val="0"/>
                <w:sz w:val="24"/>
              </w:rPr>
              <w:t>12,000</w:t>
            </w:r>
          </w:p>
        </w:tc>
        <w:tc>
          <w:tcPr>
            <w:tcW w:w="609" w:type="pct"/>
            <w:vAlign w:val="center"/>
          </w:tcPr>
          <w:p>
            <w:pPr>
              <w:jc w:val="right"/>
              <w:rPr>
                <w:rFonts w:ascii="仿宋" w:hAnsi="仿宋" w:eastAsia="仿宋" w:cs="宋体"/>
                <w:color w:val="000000"/>
                <w:kern w:val="0"/>
                <w:sz w:val="24"/>
              </w:rPr>
            </w:pPr>
            <w:r>
              <w:rPr>
                <w:rFonts w:hint="eastAsia" w:ascii="仿宋" w:hAnsi="仿宋" w:eastAsia="仿宋" w:cs="宋体"/>
                <w:color w:val="000000"/>
                <w:kern w:val="0"/>
                <w:sz w:val="24"/>
              </w:rPr>
              <w:t>12,000</w:t>
            </w:r>
          </w:p>
        </w:tc>
        <w:tc>
          <w:tcPr>
            <w:tcW w:w="442" w:type="pct"/>
            <w:vAlign w:val="center"/>
          </w:tcPr>
          <w:p>
            <w:pPr>
              <w:jc w:val="center"/>
              <w:rPr>
                <w:rFonts w:ascii="仿宋" w:hAnsi="仿宋" w:eastAsia="仿宋" w:cs="宋体"/>
                <w:color w:val="000000"/>
                <w:kern w:val="0"/>
                <w:sz w:val="24"/>
              </w:rPr>
            </w:pPr>
            <w:r>
              <w:rPr>
                <w:rFonts w:hint="eastAsia" w:ascii="仿宋" w:hAnsi="仿宋" w:eastAsia="仿宋" w:cs="宋体"/>
                <w:color w:val="000000"/>
                <w:kern w:val="0"/>
                <w:sz w:val="24"/>
              </w:rPr>
              <w:t>100</w:t>
            </w:r>
          </w:p>
        </w:tc>
        <w:tc>
          <w:tcPr>
            <w:tcW w:w="665" w:type="pct"/>
            <w:vAlign w:val="center"/>
          </w:tcPr>
          <w:p>
            <w:pPr>
              <w:jc w:val="right"/>
              <w:rPr>
                <w:rFonts w:ascii="仿宋" w:hAnsi="仿宋" w:eastAsia="仿宋" w:cs="宋体"/>
                <w:color w:val="000000"/>
                <w:kern w:val="0"/>
                <w:sz w:val="24"/>
              </w:rPr>
            </w:pPr>
            <w:r>
              <w:rPr>
                <w:rFonts w:hint="eastAsia" w:ascii="仿宋" w:hAnsi="仿宋" w:eastAsia="仿宋" w:cs="宋体"/>
                <w:color w:val="000000"/>
                <w:kern w:val="0"/>
                <w:sz w:val="24"/>
              </w:rPr>
              <w:t>525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668" w:type="dxa"/>
            <w:vAlign w:val="center"/>
          </w:tcPr>
          <w:p>
            <w:pPr>
              <w:jc w:val="center"/>
              <w:rPr>
                <w:rFonts w:ascii="仿宋" w:hAnsi="仿宋" w:eastAsia="仿宋" w:cs="宋体"/>
                <w:color w:val="000000"/>
                <w:kern w:val="0"/>
                <w:sz w:val="24"/>
              </w:rPr>
            </w:pPr>
            <w:r>
              <w:rPr>
                <w:rFonts w:hint="eastAsia" w:ascii="仿宋" w:hAnsi="仿宋" w:eastAsia="仿宋" w:cs="宋体"/>
                <w:color w:val="000000"/>
                <w:kern w:val="0"/>
                <w:sz w:val="24"/>
              </w:rPr>
              <w:t>3</w:t>
            </w:r>
          </w:p>
        </w:tc>
        <w:tc>
          <w:tcPr>
            <w:tcW w:w="3085" w:type="dxa"/>
            <w:vAlign w:val="center"/>
          </w:tcPr>
          <w:p>
            <w:pPr>
              <w:rPr>
                <w:rFonts w:ascii="仿宋" w:hAnsi="仿宋" w:eastAsia="仿宋" w:cs="宋体"/>
                <w:color w:val="000000"/>
                <w:kern w:val="0"/>
                <w:sz w:val="24"/>
              </w:rPr>
            </w:pPr>
            <w:r>
              <w:rPr>
                <w:rFonts w:hint="eastAsia" w:ascii="仿宋" w:hAnsi="仿宋" w:eastAsia="仿宋" w:cs="宋体"/>
                <w:color w:val="000000"/>
                <w:kern w:val="0"/>
                <w:sz w:val="24"/>
              </w:rPr>
              <w:t>沧州临港兴泓科技发展有限公司</w:t>
            </w:r>
          </w:p>
        </w:tc>
        <w:tc>
          <w:tcPr>
            <w:tcW w:w="855" w:type="dxa"/>
            <w:vAlign w:val="center"/>
          </w:tcPr>
          <w:p>
            <w:pPr>
              <w:jc w:val="center"/>
              <w:rPr>
                <w:rFonts w:ascii="仿宋" w:hAnsi="仿宋" w:eastAsia="仿宋" w:cs="宋体"/>
                <w:color w:val="000000"/>
                <w:kern w:val="0"/>
                <w:sz w:val="24"/>
              </w:rPr>
            </w:pPr>
            <w:r>
              <w:rPr>
                <w:rFonts w:hint="eastAsia" w:ascii="仿宋" w:hAnsi="仿宋" w:eastAsia="仿宋" w:cs="宋体"/>
                <w:color w:val="000000"/>
                <w:kern w:val="0"/>
                <w:sz w:val="24"/>
              </w:rPr>
              <w:t>独资</w:t>
            </w:r>
          </w:p>
        </w:tc>
        <w:tc>
          <w:tcPr>
            <w:tcW w:w="1125" w:type="dxa"/>
            <w:vAlign w:val="center"/>
          </w:tcPr>
          <w:p>
            <w:pPr>
              <w:jc w:val="right"/>
              <w:rPr>
                <w:rFonts w:ascii="仿宋" w:hAnsi="仿宋" w:eastAsia="仿宋" w:cs="宋体"/>
                <w:color w:val="000000"/>
                <w:kern w:val="0"/>
                <w:sz w:val="24"/>
              </w:rPr>
            </w:pPr>
            <w:r>
              <w:rPr>
                <w:rFonts w:hint="eastAsia" w:ascii="仿宋" w:hAnsi="仿宋" w:eastAsia="仿宋" w:cs="宋体"/>
                <w:color w:val="000000"/>
                <w:kern w:val="0"/>
                <w:sz w:val="24"/>
              </w:rPr>
              <w:t>10,000</w:t>
            </w:r>
          </w:p>
        </w:tc>
        <w:tc>
          <w:tcPr>
            <w:tcW w:w="1065" w:type="dxa"/>
            <w:vAlign w:val="center"/>
          </w:tcPr>
          <w:p>
            <w:pPr>
              <w:jc w:val="right"/>
              <w:rPr>
                <w:rFonts w:ascii="仿宋" w:hAnsi="仿宋" w:eastAsia="仿宋" w:cs="宋体"/>
                <w:color w:val="000000"/>
                <w:kern w:val="0"/>
                <w:sz w:val="24"/>
              </w:rPr>
            </w:pPr>
            <w:r>
              <w:rPr>
                <w:rFonts w:hint="eastAsia" w:ascii="仿宋" w:hAnsi="仿宋" w:eastAsia="仿宋" w:cs="宋体"/>
                <w:color w:val="000000"/>
                <w:kern w:val="0"/>
                <w:sz w:val="24"/>
              </w:rPr>
              <w:t>10,000</w:t>
            </w:r>
          </w:p>
        </w:tc>
        <w:tc>
          <w:tcPr>
            <w:tcW w:w="772" w:type="dxa"/>
            <w:vAlign w:val="center"/>
          </w:tcPr>
          <w:p>
            <w:pPr>
              <w:jc w:val="center"/>
              <w:rPr>
                <w:rFonts w:ascii="仿宋" w:hAnsi="仿宋" w:eastAsia="仿宋" w:cs="宋体"/>
                <w:color w:val="000000"/>
                <w:kern w:val="0"/>
                <w:sz w:val="24"/>
              </w:rPr>
            </w:pPr>
            <w:r>
              <w:rPr>
                <w:rFonts w:hint="eastAsia" w:ascii="仿宋" w:hAnsi="仿宋" w:eastAsia="仿宋" w:cs="宋体"/>
                <w:color w:val="000000"/>
                <w:kern w:val="0"/>
                <w:sz w:val="24"/>
              </w:rPr>
              <w:t>100</w:t>
            </w:r>
          </w:p>
        </w:tc>
        <w:tc>
          <w:tcPr>
            <w:tcW w:w="1163" w:type="dxa"/>
            <w:vAlign w:val="center"/>
          </w:tcPr>
          <w:p>
            <w:pPr>
              <w:jc w:val="right"/>
              <w:rPr>
                <w:rFonts w:ascii="仿宋" w:hAnsi="仿宋" w:eastAsia="仿宋" w:cs="宋体"/>
                <w:color w:val="000000"/>
                <w:kern w:val="0"/>
                <w:sz w:val="24"/>
              </w:rPr>
            </w:pPr>
            <w:r>
              <w:rPr>
                <w:rFonts w:hint="eastAsia" w:ascii="仿宋" w:hAnsi="仿宋" w:eastAsia="仿宋" w:cs="宋体"/>
                <w:color w:val="000000"/>
                <w:kern w:val="0"/>
                <w:sz w:val="24"/>
              </w:rPr>
              <w:t>-250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382" w:type="pct"/>
            <w:vAlign w:val="center"/>
          </w:tcPr>
          <w:p>
            <w:pPr>
              <w:jc w:val="center"/>
              <w:rPr>
                <w:rFonts w:ascii="仿宋" w:hAnsi="仿宋" w:eastAsia="仿宋" w:cs="宋体"/>
                <w:color w:val="000000"/>
                <w:kern w:val="0"/>
                <w:sz w:val="24"/>
              </w:rPr>
            </w:pPr>
            <w:r>
              <w:rPr>
                <w:rFonts w:hint="eastAsia" w:ascii="仿宋" w:hAnsi="仿宋" w:eastAsia="仿宋" w:cs="宋体"/>
                <w:color w:val="000000"/>
                <w:kern w:val="0"/>
                <w:sz w:val="24"/>
              </w:rPr>
              <w:t>4</w:t>
            </w:r>
          </w:p>
        </w:tc>
        <w:tc>
          <w:tcPr>
            <w:tcW w:w="3085" w:type="dxa"/>
            <w:vAlign w:val="center"/>
          </w:tcPr>
          <w:p>
            <w:pPr>
              <w:rPr>
                <w:rFonts w:ascii="仿宋" w:hAnsi="仿宋" w:eastAsia="仿宋" w:cs="宋体"/>
                <w:color w:val="000000"/>
                <w:kern w:val="0"/>
                <w:sz w:val="24"/>
              </w:rPr>
            </w:pPr>
            <w:r>
              <w:rPr>
                <w:rFonts w:hint="eastAsia" w:ascii="仿宋" w:hAnsi="仿宋" w:eastAsia="仿宋" w:cs="宋体"/>
                <w:color w:val="000000"/>
                <w:kern w:val="0"/>
                <w:sz w:val="24"/>
              </w:rPr>
              <w:t>沧州临港兴化售电有限公司</w:t>
            </w:r>
          </w:p>
        </w:tc>
        <w:tc>
          <w:tcPr>
            <w:tcW w:w="855" w:type="dxa"/>
            <w:vAlign w:val="center"/>
          </w:tcPr>
          <w:p>
            <w:pPr>
              <w:jc w:val="center"/>
              <w:rPr>
                <w:rFonts w:ascii="仿宋" w:hAnsi="仿宋" w:eastAsia="仿宋" w:cs="宋体"/>
                <w:color w:val="000000"/>
                <w:kern w:val="0"/>
                <w:sz w:val="24"/>
              </w:rPr>
            </w:pPr>
            <w:r>
              <w:rPr>
                <w:rFonts w:hint="eastAsia" w:ascii="仿宋" w:hAnsi="仿宋" w:eastAsia="仿宋" w:cs="宋体"/>
                <w:color w:val="000000"/>
                <w:kern w:val="0"/>
                <w:sz w:val="24"/>
              </w:rPr>
              <w:t>控股</w:t>
            </w:r>
          </w:p>
        </w:tc>
        <w:tc>
          <w:tcPr>
            <w:tcW w:w="1125" w:type="dxa"/>
            <w:vAlign w:val="center"/>
          </w:tcPr>
          <w:p>
            <w:pPr>
              <w:jc w:val="right"/>
              <w:rPr>
                <w:rFonts w:ascii="仿宋" w:hAnsi="仿宋" w:eastAsia="仿宋" w:cs="宋体"/>
                <w:color w:val="000000"/>
                <w:kern w:val="0"/>
                <w:sz w:val="24"/>
              </w:rPr>
            </w:pPr>
            <w:r>
              <w:rPr>
                <w:rFonts w:hint="eastAsia" w:ascii="仿宋" w:hAnsi="仿宋" w:eastAsia="仿宋" w:cs="宋体"/>
                <w:color w:val="000000"/>
                <w:kern w:val="0"/>
                <w:sz w:val="24"/>
              </w:rPr>
              <w:t>5,000</w:t>
            </w:r>
          </w:p>
        </w:tc>
        <w:tc>
          <w:tcPr>
            <w:tcW w:w="1065" w:type="dxa"/>
            <w:vAlign w:val="center"/>
          </w:tcPr>
          <w:p>
            <w:pPr>
              <w:jc w:val="right"/>
              <w:rPr>
                <w:rFonts w:ascii="仿宋" w:hAnsi="仿宋" w:eastAsia="仿宋" w:cs="宋体"/>
                <w:color w:val="000000"/>
                <w:kern w:val="0"/>
                <w:sz w:val="24"/>
              </w:rPr>
            </w:pPr>
            <w:r>
              <w:rPr>
                <w:rFonts w:hint="eastAsia" w:ascii="仿宋" w:hAnsi="仿宋" w:eastAsia="仿宋" w:cs="宋体"/>
                <w:color w:val="000000"/>
                <w:kern w:val="0"/>
                <w:sz w:val="24"/>
              </w:rPr>
              <w:t>4,500</w:t>
            </w:r>
          </w:p>
        </w:tc>
        <w:tc>
          <w:tcPr>
            <w:tcW w:w="772" w:type="dxa"/>
            <w:vAlign w:val="center"/>
          </w:tcPr>
          <w:p>
            <w:pPr>
              <w:jc w:val="center"/>
              <w:rPr>
                <w:rFonts w:ascii="仿宋" w:hAnsi="仿宋" w:eastAsia="仿宋" w:cs="宋体"/>
                <w:color w:val="000000"/>
                <w:kern w:val="0"/>
                <w:sz w:val="24"/>
              </w:rPr>
            </w:pPr>
            <w:r>
              <w:rPr>
                <w:rFonts w:hint="eastAsia" w:ascii="仿宋" w:hAnsi="仿宋" w:eastAsia="仿宋" w:cs="宋体"/>
                <w:color w:val="000000"/>
                <w:kern w:val="0"/>
                <w:sz w:val="24"/>
              </w:rPr>
              <w:t>90</w:t>
            </w:r>
          </w:p>
        </w:tc>
        <w:tc>
          <w:tcPr>
            <w:tcW w:w="1163" w:type="dxa"/>
            <w:vAlign w:val="center"/>
          </w:tcPr>
          <w:p>
            <w:pPr>
              <w:jc w:val="right"/>
              <w:rPr>
                <w:rFonts w:ascii="仿宋" w:hAnsi="仿宋" w:eastAsia="仿宋" w:cs="宋体"/>
                <w:color w:val="000000"/>
                <w:kern w:val="0"/>
                <w:sz w:val="24"/>
              </w:rPr>
            </w:pPr>
            <w:r>
              <w:rPr>
                <w:rFonts w:hint="eastAsia" w:ascii="仿宋" w:hAnsi="仿宋" w:eastAsia="仿宋" w:cs="宋体"/>
                <w:color w:val="000000"/>
                <w:kern w:val="0"/>
                <w:sz w:val="24"/>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382" w:type="pct"/>
            <w:vAlign w:val="center"/>
          </w:tcPr>
          <w:p>
            <w:pPr>
              <w:jc w:val="center"/>
              <w:rPr>
                <w:rFonts w:ascii="仿宋" w:hAnsi="仿宋" w:eastAsia="仿宋" w:cs="宋体"/>
                <w:color w:val="000000"/>
                <w:kern w:val="0"/>
                <w:sz w:val="24"/>
              </w:rPr>
            </w:pPr>
            <w:r>
              <w:rPr>
                <w:rFonts w:hint="eastAsia" w:ascii="仿宋" w:hAnsi="仿宋" w:eastAsia="仿宋" w:cs="宋体"/>
                <w:color w:val="000000"/>
                <w:kern w:val="0"/>
                <w:sz w:val="24"/>
              </w:rPr>
              <w:t>5</w:t>
            </w:r>
          </w:p>
        </w:tc>
        <w:tc>
          <w:tcPr>
            <w:tcW w:w="1766" w:type="pct"/>
            <w:vAlign w:val="center"/>
          </w:tcPr>
          <w:p>
            <w:pPr>
              <w:rPr>
                <w:rFonts w:ascii="仿宋" w:hAnsi="仿宋" w:eastAsia="仿宋" w:cs="宋体"/>
                <w:color w:val="000000"/>
                <w:kern w:val="0"/>
                <w:sz w:val="24"/>
              </w:rPr>
            </w:pPr>
            <w:r>
              <w:rPr>
                <w:rFonts w:hint="eastAsia" w:ascii="仿宋" w:hAnsi="仿宋" w:eastAsia="仿宋" w:cs="宋体"/>
                <w:color w:val="000000"/>
                <w:kern w:val="0"/>
                <w:sz w:val="24"/>
              </w:rPr>
              <w:t>沧州临港兴桓科技有限公司</w:t>
            </w:r>
          </w:p>
        </w:tc>
        <w:tc>
          <w:tcPr>
            <w:tcW w:w="489" w:type="pct"/>
            <w:vAlign w:val="center"/>
          </w:tcPr>
          <w:p>
            <w:pPr>
              <w:jc w:val="center"/>
              <w:rPr>
                <w:rFonts w:ascii="仿宋" w:hAnsi="仿宋" w:eastAsia="仿宋" w:cs="宋体"/>
                <w:color w:val="000000"/>
                <w:kern w:val="0"/>
                <w:sz w:val="24"/>
              </w:rPr>
            </w:pPr>
            <w:r>
              <w:rPr>
                <w:rFonts w:hint="eastAsia" w:ascii="仿宋" w:hAnsi="仿宋" w:eastAsia="仿宋" w:cs="宋体"/>
                <w:color w:val="000000"/>
                <w:kern w:val="0"/>
                <w:sz w:val="24"/>
              </w:rPr>
              <w:t>独资</w:t>
            </w:r>
          </w:p>
        </w:tc>
        <w:tc>
          <w:tcPr>
            <w:tcW w:w="644" w:type="pct"/>
            <w:vAlign w:val="center"/>
          </w:tcPr>
          <w:p>
            <w:pPr>
              <w:jc w:val="right"/>
              <w:rPr>
                <w:rFonts w:ascii="仿宋" w:hAnsi="仿宋" w:eastAsia="仿宋" w:cs="宋体"/>
                <w:color w:val="000000"/>
                <w:kern w:val="0"/>
                <w:sz w:val="24"/>
              </w:rPr>
            </w:pPr>
            <w:r>
              <w:rPr>
                <w:rFonts w:hint="eastAsia" w:ascii="仿宋" w:hAnsi="仿宋" w:eastAsia="仿宋" w:cs="宋体"/>
                <w:color w:val="000000"/>
                <w:kern w:val="0"/>
                <w:sz w:val="24"/>
              </w:rPr>
              <w:t>10,000</w:t>
            </w:r>
          </w:p>
        </w:tc>
        <w:tc>
          <w:tcPr>
            <w:tcW w:w="609" w:type="pct"/>
            <w:vAlign w:val="center"/>
          </w:tcPr>
          <w:p>
            <w:pPr>
              <w:jc w:val="right"/>
              <w:rPr>
                <w:rFonts w:ascii="仿宋" w:hAnsi="仿宋" w:eastAsia="仿宋" w:cs="宋体"/>
                <w:color w:val="000000"/>
                <w:kern w:val="0"/>
                <w:sz w:val="24"/>
              </w:rPr>
            </w:pPr>
            <w:r>
              <w:rPr>
                <w:rFonts w:hint="eastAsia" w:ascii="仿宋" w:hAnsi="仿宋" w:eastAsia="仿宋" w:cs="宋体"/>
                <w:color w:val="000000"/>
                <w:kern w:val="0"/>
                <w:sz w:val="24"/>
              </w:rPr>
              <w:t>10,000</w:t>
            </w:r>
          </w:p>
        </w:tc>
        <w:tc>
          <w:tcPr>
            <w:tcW w:w="442" w:type="pct"/>
            <w:vAlign w:val="center"/>
          </w:tcPr>
          <w:p>
            <w:pPr>
              <w:jc w:val="center"/>
              <w:rPr>
                <w:rFonts w:ascii="仿宋" w:hAnsi="仿宋" w:eastAsia="仿宋" w:cs="宋体"/>
                <w:color w:val="000000"/>
                <w:kern w:val="0"/>
                <w:sz w:val="24"/>
              </w:rPr>
            </w:pPr>
            <w:r>
              <w:rPr>
                <w:rFonts w:hint="eastAsia" w:ascii="仿宋" w:hAnsi="仿宋" w:eastAsia="仿宋" w:cs="宋体"/>
                <w:color w:val="000000"/>
                <w:kern w:val="0"/>
                <w:sz w:val="24"/>
              </w:rPr>
              <w:t>100</w:t>
            </w:r>
          </w:p>
        </w:tc>
        <w:tc>
          <w:tcPr>
            <w:tcW w:w="665" w:type="pct"/>
            <w:vAlign w:val="center"/>
          </w:tcPr>
          <w:p>
            <w:pPr>
              <w:jc w:val="right"/>
              <w:rPr>
                <w:rFonts w:ascii="仿宋" w:hAnsi="仿宋" w:eastAsia="仿宋" w:cs="宋体"/>
                <w:color w:val="000000"/>
                <w:kern w:val="0"/>
                <w:sz w:val="24"/>
              </w:rPr>
            </w:pPr>
            <w:r>
              <w:rPr>
                <w:rFonts w:hint="eastAsia" w:ascii="仿宋" w:hAnsi="仿宋" w:eastAsia="仿宋" w:cs="宋体"/>
                <w:color w:val="000000"/>
                <w:kern w:val="0"/>
                <w:sz w:val="24"/>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382" w:type="pct"/>
            <w:vAlign w:val="center"/>
          </w:tcPr>
          <w:p>
            <w:pPr>
              <w:jc w:val="center"/>
              <w:rPr>
                <w:rFonts w:ascii="仿宋" w:hAnsi="仿宋" w:eastAsia="仿宋" w:cs="宋体"/>
                <w:color w:val="000000"/>
                <w:kern w:val="0"/>
                <w:sz w:val="24"/>
              </w:rPr>
            </w:pPr>
          </w:p>
        </w:tc>
        <w:tc>
          <w:tcPr>
            <w:tcW w:w="3951" w:type="pct"/>
            <w:gridSpan w:val="5"/>
            <w:vAlign w:val="center"/>
          </w:tcPr>
          <w:p>
            <w:pPr>
              <w:jc w:val="center"/>
              <w:rPr>
                <w:rFonts w:ascii="仿宋" w:hAnsi="仿宋" w:eastAsia="仿宋" w:cs="宋体"/>
                <w:color w:val="000000"/>
                <w:kern w:val="0"/>
                <w:sz w:val="24"/>
              </w:rPr>
            </w:pPr>
            <w:r>
              <w:rPr>
                <w:rFonts w:hint="eastAsia" w:ascii="仿宋" w:hAnsi="仿宋" w:eastAsia="仿宋" w:cs="宋体"/>
                <w:color w:val="000000"/>
                <w:kern w:val="0"/>
                <w:sz w:val="24"/>
              </w:rPr>
              <w:t>合计</w:t>
            </w:r>
          </w:p>
        </w:tc>
        <w:tc>
          <w:tcPr>
            <w:tcW w:w="665" w:type="pct"/>
            <w:vAlign w:val="center"/>
          </w:tcPr>
          <w:p>
            <w:pPr>
              <w:jc w:val="right"/>
              <w:rPr>
                <w:rFonts w:ascii="仿宋" w:hAnsi="仿宋" w:eastAsia="仿宋" w:cs="宋体"/>
                <w:color w:val="000000"/>
                <w:kern w:val="0"/>
                <w:sz w:val="24"/>
              </w:rPr>
            </w:pPr>
            <w:r>
              <w:rPr>
                <w:rFonts w:hint="eastAsia" w:ascii="仿宋" w:hAnsi="仿宋" w:eastAsia="仿宋" w:cs="宋体"/>
                <w:color w:val="000000"/>
                <w:kern w:val="0"/>
                <w:sz w:val="24"/>
              </w:rPr>
              <w:t>206</w:t>
            </w:r>
          </w:p>
        </w:tc>
      </w:tr>
    </w:tbl>
    <w:p>
      <w:pPr>
        <w:spacing w:line="540" w:lineRule="exact"/>
        <w:ind w:firstLine="640" w:firstLineChars="200"/>
        <w:rPr>
          <w:rFonts w:ascii="仿宋" w:hAnsi="仿宋" w:eastAsia="仿宋" w:cs="仿宋"/>
          <w:sz w:val="32"/>
          <w:szCs w:val="32"/>
        </w:rPr>
      </w:pPr>
      <w:r>
        <w:rPr>
          <w:rFonts w:ascii="黑体" w:eastAsia="黑体"/>
          <w:sz w:val="32"/>
          <w:szCs w:val="32"/>
        </w:rPr>
        <w:br w:type="page"/>
      </w:r>
      <w:r>
        <w:rPr>
          <w:rFonts w:hint="eastAsia" w:ascii="仿宋" w:hAnsi="仿宋" w:eastAsia="仿宋" w:cs="仿宋"/>
          <w:b/>
          <w:bCs/>
          <w:sz w:val="32"/>
          <w:szCs w:val="32"/>
        </w:rPr>
        <w:t>二、国有资本经营收益征收政策</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根据《沧州临港经济技术开发区区级国有资本经营预算管理办法》（沧港财字[2020]55号），2021年区属国有独资企业上缴利润收取比例为25%。</w:t>
      </w:r>
    </w:p>
    <w:p>
      <w:pPr>
        <w:spacing w:line="360" w:lineRule="auto"/>
        <w:ind w:firstLine="643" w:firstLineChars="200"/>
        <w:rPr>
          <w:rFonts w:ascii="仿宋" w:hAnsi="仿宋" w:eastAsia="仿宋" w:cs="仿宋"/>
          <w:b/>
          <w:bCs/>
          <w:sz w:val="32"/>
          <w:szCs w:val="32"/>
        </w:rPr>
      </w:pPr>
      <w:r>
        <w:rPr>
          <w:rFonts w:hint="eastAsia" w:ascii="仿宋" w:hAnsi="仿宋" w:eastAsia="仿宋" w:cs="仿宋"/>
          <w:b/>
          <w:bCs/>
          <w:sz w:val="32"/>
          <w:szCs w:val="32"/>
        </w:rPr>
        <w:t>三、2021年国有资本经营预算收入情况</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（一）利润收入、股利收入上缴0万元，具体如下：</w:t>
      </w:r>
    </w:p>
    <w:p>
      <w:pPr>
        <w:spacing w:line="280" w:lineRule="exact"/>
        <w:rPr>
          <w:rFonts w:ascii="仿宋_GB2312" w:eastAsia="仿宋_GB2312"/>
          <w:sz w:val="32"/>
          <w:szCs w:val="32"/>
        </w:rPr>
      </w:pPr>
      <w:r>
        <w:rPr>
          <w:rFonts w:hint="eastAsia" w:ascii="仿宋_GB2312" w:eastAsia="仿宋_GB2312"/>
          <w:sz w:val="32"/>
          <w:szCs w:val="32"/>
        </w:rPr>
        <w:t xml:space="preserve"> </w:t>
      </w:r>
    </w:p>
    <w:tbl>
      <w:tblPr>
        <w:tblStyle w:val="15"/>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92"/>
        <w:gridCol w:w="4520"/>
        <w:gridCol w:w="705"/>
        <w:gridCol w:w="1668"/>
        <w:gridCol w:w="124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392" w:type="pct"/>
            <w:vAlign w:val="center"/>
          </w:tcPr>
          <w:p>
            <w:pPr>
              <w:jc w:val="center"/>
              <w:rPr>
                <w:rFonts w:ascii="宋体" w:hAnsi="宋体"/>
                <w:b/>
                <w:sz w:val="22"/>
              </w:rPr>
            </w:pPr>
            <w:r>
              <w:rPr>
                <w:rFonts w:hint="eastAsia" w:ascii="宋体" w:hAnsi="宋体"/>
                <w:b/>
                <w:sz w:val="22"/>
              </w:rPr>
              <w:t>序号</w:t>
            </w:r>
          </w:p>
        </w:tc>
        <w:tc>
          <w:tcPr>
            <w:tcW w:w="2558" w:type="pct"/>
            <w:vAlign w:val="center"/>
          </w:tcPr>
          <w:p>
            <w:pPr>
              <w:jc w:val="center"/>
              <w:rPr>
                <w:rFonts w:ascii="宋体" w:hAnsi="宋体"/>
                <w:b/>
                <w:sz w:val="22"/>
              </w:rPr>
            </w:pPr>
            <w:r>
              <w:rPr>
                <w:rFonts w:hint="eastAsia" w:ascii="宋体" w:hAnsi="宋体"/>
                <w:b/>
                <w:sz w:val="22"/>
              </w:rPr>
              <w:t>企业名称</w:t>
            </w:r>
          </w:p>
        </w:tc>
        <w:tc>
          <w:tcPr>
            <w:tcW w:w="397" w:type="pct"/>
            <w:vAlign w:val="center"/>
          </w:tcPr>
          <w:p>
            <w:pPr>
              <w:jc w:val="center"/>
              <w:rPr>
                <w:rFonts w:ascii="宋体" w:hAnsi="宋体"/>
                <w:b/>
                <w:sz w:val="22"/>
              </w:rPr>
            </w:pPr>
            <w:r>
              <w:rPr>
                <w:rFonts w:hint="eastAsia" w:ascii="宋体" w:hAnsi="宋体"/>
                <w:b/>
                <w:sz w:val="22"/>
              </w:rPr>
              <w:t>股权类型</w:t>
            </w:r>
          </w:p>
        </w:tc>
        <w:tc>
          <w:tcPr>
            <w:tcW w:w="944" w:type="pct"/>
            <w:vAlign w:val="center"/>
          </w:tcPr>
          <w:p>
            <w:pPr>
              <w:jc w:val="center"/>
              <w:rPr>
                <w:rFonts w:ascii="宋体" w:hAnsi="宋体"/>
                <w:b/>
                <w:sz w:val="22"/>
              </w:rPr>
            </w:pPr>
            <w:r>
              <w:rPr>
                <w:rFonts w:hint="eastAsia" w:ascii="宋体" w:hAnsi="宋体"/>
                <w:b/>
                <w:sz w:val="22"/>
              </w:rPr>
              <w:t>预计上缴利润</w:t>
            </w:r>
          </w:p>
          <w:p>
            <w:pPr>
              <w:jc w:val="center"/>
              <w:rPr>
                <w:rFonts w:ascii="宋体" w:hAnsi="宋体"/>
                <w:b/>
                <w:sz w:val="22"/>
              </w:rPr>
            </w:pPr>
            <w:r>
              <w:rPr>
                <w:rFonts w:hint="eastAsia" w:ascii="宋体" w:hAnsi="宋体"/>
                <w:b/>
                <w:sz w:val="22"/>
              </w:rPr>
              <w:t>（万元）</w:t>
            </w:r>
          </w:p>
        </w:tc>
        <w:tc>
          <w:tcPr>
            <w:tcW w:w="706" w:type="pct"/>
            <w:vAlign w:val="center"/>
          </w:tcPr>
          <w:p>
            <w:pPr>
              <w:jc w:val="center"/>
              <w:rPr>
                <w:rFonts w:ascii="宋体" w:hAnsi="宋体"/>
                <w:b/>
                <w:sz w:val="22"/>
              </w:rPr>
            </w:pPr>
            <w:r>
              <w:rPr>
                <w:rFonts w:hint="eastAsia" w:ascii="宋体" w:hAnsi="宋体"/>
                <w:b/>
                <w:sz w:val="22"/>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392" w:type="pct"/>
            <w:vAlign w:val="center"/>
          </w:tcPr>
          <w:p>
            <w:pPr>
              <w:spacing w:line="240" w:lineRule="exact"/>
              <w:jc w:val="center"/>
              <w:rPr>
                <w:rFonts w:ascii="仿宋" w:hAnsi="仿宋" w:eastAsia="仿宋" w:cs="宋体"/>
                <w:color w:val="000000"/>
                <w:kern w:val="0"/>
                <w:sz w:val="24"/>
              </w:rPr>
            </w:pPr>
            <w:r>
              <w:rPr>
                <w:rFonts w:hint="eastAsia" w:ascii="仿宋" w:hAnsi="仿宋" w:eastAsia="仿宋" w:cs="宋体"/>
                <w:color w:val="000000"/>
                <w:kern w:val="0"/>
                <w:sz w:val="24"/>
              </w:rPr>
              <w:t>1</w:t>
            </w:r>
          </w:p>
        </w:tc>
        <w:tc>
          <w:tcPr>
            <w:tcW w:w="2558" w:type="pct"/>
            <w:vAlign w:val="center"/>
          </w:tcPr>
          <w:p>
            <w:pPr>
              <w:rPr>
                <w:rFonts w:ascii="仿宋" w:hAnsi="仿宋" w:eastAsia="仿宋" w:cs="宋体"/>
                <w:color w:val="000000"/>
                <w:kern w:val="0"/>
                <w:sz w:val="24"/>
              </w:rPr>
            </w:pPr>
            <w:r>
              <w:rPr>
                <w:rFonts w:hint="eastAsia" w:ascii="仿宋" w:hAnsi="仿宋" w:eastAsia="仿宋" w:cs="宋体"/>
                <w:color w:val="000000"/>
                <w:kern w:val="0"/>
                <w:sz w:val="24"/>
              </w:rPr>
              <w:t>沧州临港新起点房屋经营管理有限公司</w:t>
            </w:r>
          </w:p>
        </w:tc>
        <w:tc>
          <w:tcPr>
            <w:tcW w:w="397" w:type="pct"/>
            <w:vAlign w:val="center"/>
          </w:tcPr>
          <w:p>
            <w:pPr>
              <w:spacing w:line="240" w:lineRule="exact"/>
              <w:jc w:val="center"/>
              <w:rPr>
                <w:rFonts w:ascii="仿宋" w:hAnsi="仿宋" w:eastAsia="仿宋" w:cs="宋体"/>
                <w:color w:val="000000"/>
                <w:kern w:val="0"/>
                <w:sz w:val="24"/>
              </w:rPr>
            </w:pPr>
            <w:r>
              <w:rPr>
                <w:rFonts w:hint="eastAsia" w:ascii="仿宋" w:hAnsi="仿宋" w:eastAsia="仿宋" w:cs="宋体"/>
                <w:color w:val="000000"/>
                <w:kern w:val="0"/>
                <w:sz w:val="24"/>
              </w:rPr>
              <w:t>独资</w:t>
            </w:r>
          </w:p>
        </w:tc>
        <w:tc>
          <w:tcPr>
            <w:tcW w:w="944" w:type="pct"/>
            <w:vAlign w:val="center"/>
          </w:tcPr>
          <w:p>
            <w:pPr>
              <w:spacing w:line="240" w:lineRule="exact"/>
              <w:jc w:val="right"/>
              <w:rPr>
                <w:rFonts w:ascii="仿宋" w:hAnsi="仿宋" w:eastAsia="仿宋" w:cs="宋体"/>
                <w:color w:val="000000"/>
                <w:kern w:val="0"/>
                <w:sz w:val="24"/>
              </w:rPr>
            </w:pPr>
            <w:r>
              <w:rPr>
                <w:rFonts w:hint="eastAsia" w:ascii="仿宋" w:hAnsi="仿宋" w:eastAsia="仿宋" w:cs="宋体"/>
                <w:color w:val="000000"/>
                <w:kern w:val="0"/>
                <w:sz w:val="24"/>
              </w:rPr>
              <w:t>0</w:t>
            </w:r>
          </w:p>
        </w:tc>
        <w:tc>
          <w:tcPr>
            <w:tcW w:w="706" w:type="pct"/>
            <w:vAlign w:val="center"/>
          </w:tcPr>
          <w:p>
            <w:pPr>
              <w:spacing w:line="240" w:lineRule="exact"/>
              <w:jc w:val="center"/>
              <w:rPr>
                <w:rFonts w:ascii="仿宋" w:hAnsi="仿宋" w:eastAsia="仿宋" w:cs="宋体"/>
                <w:color w:val="000000"/>
                <w:kern w:val="0"/>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392" w:type="pct"/>
            <w:vAlign w:val="center"/>
          </w:tcPr>
          <w:p>
            <w:pPr>
              <w:spacing w:line="240" w:lineRule="exact"/>
              <w:jc w:val="center"/>
              <w:rPr>
                <w:rFonts w:ascii="仿宋" w:hAnsi="仿宋" w:eastAsia="仿宋" w:cs="宋体"/>
                <w:color w:val="000000"/>
                <w:kern w:val="0"/>
                <w:sz w:val="24"/>
              </w:rPr>
            </w:pPr>
            <w:r>
              <w:rPr>
                <w:rFonts w:hint="eastAsia" w:ascii="仿宋" w:hAnsi="仿宋" w:eastAsia="仿宋" w:cs="宋体"/>
                <w:color w:val="000000"/>
                <w:kern w:val="0"/>
                <w:sz w:val="24"/>
              </w:rPr>
              <w:t>2</w:t>
            </w:r>
          </w:p>
        </w:tc>
        <w:tc>
          <w:tcPr>
            <w:tcW w:w="2558" w:type="pct"/>
            <w:vAlign w:val="center"/>
          </w:tcPr>
          <w:p>
            <w:pPr>
              <w:rPr>
                <w:rFonts w:ascii="仿宋" w:hAnsi="仿宋" w:eastAsia="仿宋" w:cs="宋体"/>
                <w:color w:val="000000"/>
                <w:kern w:val="0"/>
                <w:sz w:val="24"/>
              </w:rPr>
            </w:pPr>
            <w:r>
              <w:rPr>
                <w:rFonts w:hint="eastAsia" w:ascii="仿宋" w:hAnsi="仿宋" w:eastAsia="仿宋" w:cs="宋体"/>
                <w:color w:val="000000"/>
                <w:kern w:val="0"/>
                <w:sz w:val="24"/>
              </w:rPr>
              <w:t>沧州临港兴化城市建设投资集团有限公司</w:t>
            </w:r>
          </w:p>
        </w:tc>
        <w:tc>
          <w:tcPr>
            <w:tcW w:w="397" w:type="pct"/>
            <w:vAlign w:val="center"/>
          </w:tcPr>
          <w:p>
            <w:pPr>
              <w:spacing w:line="240" w:lineRule="exact"/>
              <w:jc w:val="center"/>
              <w:rPr>
                <w:rFonts w:ascii="仿宋" w:hAnsi="仿宋" w:eastAsia="仿宋" w:cs="宋体"/>
                <w:color w:val="000000"/>
                <w:kern w:val="0"/>
                <w:sz w:val="24"/>
              </w:rPr>
            </w:pPr>
            <w:r>
              <w:rPr>
                <w:rFonts w:hint="eastAsia" w:ascii="仿宋" w:hAnsi="仿宋" w:eastAsia="仿宋" w:cs="宋体"/>
                <w:color w:val="000000"/>
                <w:kern w:val="0"/>
                <w:sz w:val="24"/>
              </w:rPr>
              <w:t>独资</w:t>
            </w:r>
          </w:p>
        </w:tc>
        <w:tc>
          <w:tcPr>
            <w:tcW w:w="944" w:type="pct"/>
            <w:vAlign w:val="center"/>
          </w:tcPr>
          <w:p>
            <w:pPr>
              <w:spacing w:line="240" w:lineRule="exact"/>
              <w:jc w:val="right"/>
              <w:rPr>
                <w:rFonts w:ascii="仿宋" w:hAnsi="仿宋" w:eastAsia="仿宋" w:cs="宋体"/>
                <w:color w:val="000000"/>
                <w:kern w:val="0"/>
                <w:sz w:val="24"/>
              </w:rPr>
            </w:pPr>
            <w:r>
              <w:rPr>
                <w:rFonts w:hint="eastAsia" w:ascii="仿宋" w:hAnsi="仿宋" w:eastAsia="仿宋" w:cs="宋体"/>
                <w:color w:val="000000"/>
                <w:kern w:val="0"/>
                <w:sz w:val="24"/>
              </w:rPr>
              <w:t>0</w:t>
            </w:r>
          </w:p>
        </w:tc>
        <w:tc>
          <w:tcPr>
            <w:tcW w:w="706" w:type="pct"/>
            <w:vAlign w:val="center"/>
          </w:tcPr>
          <w:p>
            <w:pPr>
              <w:spacing w:line="240" w:lineRule="exact"/>
              <w:jc w:val="center"/>
              <w:rPr>
                <w:rFonts w:ascii="仿宋" w:hAnsi="仿宋" w:eastAsia="仿宋" w:cs="宋体"/>
                <w:color w:val="000000"/>
                <w:kern w:val="0"/>
                <w:sz w:val="24"/>
              </w:rPr>
            </w:pPr>
            <w:r>
              <w:rPr>
                <w:rFonts w:hint="eastAsia" w:ascii="仿宋" w:hAnsi="仿宋" w:eastAsia="仿宋" w:cs="宋体"/>
                <w:color w:val="000000"/>
                <w:kern w:val="0"/>
                <w:sz w:val="24"/>
              </w:rPr>
              <w:t>弥补亏损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392" w:type="pct"/>
            <w:vAlign w:val="center"/>
          </w:tcPr>
          <w:p>
            <w:pPr>
              <w:spacing w:line="240" w:lineRule="exact"/>
              <w:jc w:val="center"/>
              <w:rPr>
                <w:rFonts w:ascii="仿宋" w:hAnsi="仿宋" w:eastAsia="仿宋" w:cs="宋体"/>
                <w:color w:val="000000"/>
                <w:kern w:val="0"/>
                <w:sz w:val="24"/>
              </w:rPr>
            </w:pPr>
            <w:r>
              <w:rPr>
                <w:rFonts w:hint="eastAsia" w:ascii="仿宋" w:hAnsi="仿宋" w:eastAsia="仿宋" w:cs="宋体"/>
                <w:color w:val="000000"/>
                <w:kern w:val="0"/>
                <w:sz w:val="24"/>
              </w:rPr>
              <w:t>3</w:t>
            </w:r>
          </w:p>
        </w:tc>
        <w:tc>
          <w:tcPr>
            <w:tcW w:w="2558" w:type="pct"/>
            <w:vAlign w:val="center"/>
          </w:tcPr>
          <w:p>
            <w:pPr>
              <w:rPr>
                <w:rFonts w:ascii="仿宋" w:hAnsi="仿宋" w:eastAsia="仿宋" w:cs="宋体"/>
                <w:color w:val="000000"/>
                <w:kern w:val="0"/>
                <w:sz w:val="24"/>
              </w:rPr>
            </w:pPr>
            <w:r>
              <w:rPr>
                <w:rFonts w:hint="eastAsia" w:ascii="仿宋" w:hAnsi="仿宋" w:eastAsia="仿宋" w:cs="宋体"/>
                <w:color w:val="000000"/>
                <w:kern w:val="0"/>
                <w:sz w:val="24"/>
              </w:rPr>
              <w:t>沧州临港兴泓科技发展有限公司</w:t>
            </w:r>
          </w:p>
        </w:tc>
        <w:tc>
          <w:tcPr>
            <w:tcW w:w="397" w:type="pct"/>
            <w:vAlign w:val="center"/>
          </w:tcPr>
          <w:p>
            <w:pPr>
              <w:spacing w:line="240" w:lineRule="exact"/>
              <w:jc w:val="center"/>
              <w:rPr>
                <w:rFonts w:ascii="仿宋" w:hAnsi="仿宋" w:eastAsia="仿宋" w:cs="宋体"/>
                <w:color w:val="000000"/>
                <w:kern w:val="0"/>
                <w:sz w:val="24"/>
              </w:rPr>
            </w:pPr>
            <w:r>
              <w:rPr>
                <w:rFonts w:hint="eastAsia" w:ascii="仿宋" w:hAnsi="仿宋" w:eastAsia="仿宋" w:cs="宋体"/>
                <w:color w:val="000000"/>
                <w:kern w:val="0"/>
                <w:sz w:val="24"/>
              </w:rPr>
              <w:t>独资</w:t>
            </w:r>
          </w:p>
        </w:tc>
        <w:tc>
          <w:tcPr>
            <w:tcW w:w="944" w:type="pct"/>
            <w:vAlign w:val="center"/>
          </w:tcPr>
          <w:p>
            <w:pPr>
              <w:spacing w:line="240" w:lineRule="exact"/>
              <w:jc w:val="right"/>
              <w:rPr>
                <w:rFonts w:ascii="仿宋" w:hAnsi="仿宋" w:eastAsia="仿宋" w:cs="宋体"/>
                <w:color w:val="000000"/>
                <w:kern w:val="0"/>
                <w:sz w:val="24"/>
              </w:rPr>
            </w:pPr>
            <w:r>
              <w:rPr>
                <w:rFonts w:hint="eastAsia" w:ascii="仿宋" w:hAnsi="仿宋" w:eastAsia="仿宋" w:cs="宋体"/>
                <w:color w:val="000000"/>
                <w:kern w:val="0"/>
                <w:sz w:val="24"/>
              </w:rPr>
              <w:t>0</w:t>
            </w:r>
          </w:p>
        </w:tc>
        <w:tc>
          <w:tcPr>
            <w:tcW w:w="706" w:type="pct"/>
            <w:vAlign w:val="center"/>
          </w:tcPr>
          <w:p>
            <w:pPr>
              <w:spacing w:line="240" w:lineRule="exact"/>
              <w:jc w:val="center"/>
              <w:rPr>
                <w:rFonts w:ascii="仿宋" w:hAnsi="仿宋" w:eastAsia="仿宋" w:cs="宋体"/>
                <w:color w:val="000000"/>
                <w:kern w:val="0"/>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68" w:type="dxa"/>
            <w:vAlign w:val="center"/>
          </w:tcPr>
          <w:p>
            <w:pPr>
              <w:jc w:val="center"/>
              <w:rPr>
                <w:rFonts w:ascii="仿宋" w:hAnsi="仿宋" w:eastAsia="仿宋" w:cs="宋体"/>
                <w:color w:val="000000"/>
                <w:kern w:val="0"/>
                <w:sz w:val="24"/>
              </w:rPr>
            </w:pPr>
            <w:r>
              <w:rPr>
                <w:rFonts w:hint="eastAsia" w:ascii="仿宋" w:hAnsi="仿宋" w:eastAsia="仿宋" w:cs="宋体"/>
                <w:color w:val="000000"/>
                <w:kern w:val="0"/>
                <w:sz w:val="24"/>
              </w:rPr>
              <w:t>4</w:t>
            </w:r>
          </w:p>
        </w:tc>
        <w:tc>
          <w:tcPr>
            <w:tcW w:w="4361" w:type="dxa"/>
            <w:vAlign w:val="center"/>
          </w:tcPr>
          <w:p>
            <w:pPr>
              <w:rPr>
                <w:rFonts w:ascii="仿宋" w:hAnsi="仿宋" w:eastAsia="仿宋" w:cs="宋体"/>
                <w:color w:val="000000"/>
                <w:kern w:val="0"/>
                <w:sz w:val="24"/>
              </w:rPr>
            </w:pPr>
            <w:r>
              <w:rPr>
                <w:rFonts w:hint="eastAsia" w:ascii="仿宋" w:hAnsi="仿宋" w:eastAsia="仿宋" w:cs="宋体"/>
                <w:color w:val="000000"/>
                <w:kern w:val="0"/>
                <w:sz w:val="24"/>
              </w:rPr>
              <w:t>沧州临港兴化售电有限公司</w:t>
            </w:r>
          </w:p>
        </w:tc>
        <w:tc>
          <w:tcPr>
            <w:tcW w:w="680" w:type="dxa"/>
            <w:vAlign w:val="center"/>
          </w:tcPr>
          <w:p>
            <w:pPr>
              <w:spacing w:line="240" w:lineRule="exact"/>
              <w:jc w:val="center"/>
              <w:rPr>
                <w:rFonts w:ascii="仿宋" w:hAnsi="仿宋" w:eastAsia="仿宋" w:cs="宋体"/>
                <w:color w:val="000000"/>
                <w:kern w:val="0"/>
                <w:sz w:val="24"/>
              </w:rPr>
            </w:pPr>
            <w:r>
              <w:rPr>
                <w:rFonts w:hint="eastAsia" w:ascii="仿宋" w:hAnsi="仿宋" w:eastAsia="仿宋" w:cs="宋体"/>
                <w:color w:val="000000"/>
                <w:kern w:val="0"/>
                <w:sz w:val="24"/>
              </w:rPr>
              <w:t>控股</w:t>
            </w:r>
          </w:p>
        </w:tc>
        <w:tc>
          <w:tcPr>
            <w:tcW w:w="944" w:type="pct"/>
            <w:vAlign w:val="center"/>
          </w:tcPr>
          <w:p>
            <w:pPr>
              <w:spacing w:line="240" w:lineRule="exact"/>
              <w:jc w:val="right"/>
              <w:rPr>
                <w:rFonts w:ascii="仿宋" w:hAnsi="仿宋" w:eastAsia="仿宋" w:cs="宋体"/>
                <w:color w:val="000000"/>
                <w:kern w:val="0"/>
                <w:sz w:val="24"/>
              </w:rPr>
            </w:pPr>
            <w:r>
              <w:rPr>
                <w:rFonts w:hint="eastAsia" w:ascii="仿宋" w:hAnsi="仿宋" w:eastAsia="仿宋" w:cs="宋体"/>
                <w:color w:val="000000"/>
                <w:kern w:val="0"/>
                <w:sz w:val="24"/>
              </w:rPr>
              <w:t>0</w:t>
            </w:r>
          </w:p>
        </w:tc>
        <w:tc>
          <w:tcPr>
            <w:tcW w:w="706" w:type="pct"/>
            <w:vAlign w:val="center"/>
          </w:tcPr>
          <w:p>
            <w:pPr>
              <w:spacing w:line="240" w:lineRule="exact"/>
              <w:jc w:val="center"/>
              <w:rPr>
                <w:rFonts w:ascii="仿宋" w:hAnsi="仿宋" w:eastAsia="仿宋" w:cs="宋体"/>
                <w:color w:val="000000"/>
                <w:kern w:val="0"/>
                <w:sz w:val="24"/>
              </w:rPr>
            </w:pPr>
            <w:r>
              <w:rPr>
                <w:rFonts w:hint="eastAsia" w:ascii="仿宋" w:hAnsi="仿宋" w:eastAsia="仿宋" w:cs="宋体"/>
                <w:color w:val="000000"/>
                <w:kern w:val="0"/>
                <w:sz w:val="24"/>
              </w:rPr>
              <w:t>正在进行产权转让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68" w:type="dxa"/>
            <w:vAlign w:val="center"/>
          </w:tcPr>
          <w:p>
            <w:pPr>
              <w:jc w:val="center"/>
              <w:rPr>
                <w:rFonts w:ascii="仿宋" w:hAnsi="仿宋" w:eastAsia="仿宋" w:cs="宋体"/>
                <w:color w:val="000000"/>
                <w:kern w:val="0"/>
                <w:sz w:val="24"/>
              </w:rPr>
            </w:pPr>
            <w:r>
              <w:rPr>
                <w:rFonts w:hint="eastAsia" w:ascii="仿宋" w:hAnsi="仿宋" w:eastAsia="仿宋" w:cs="宋体"/>
                <w:color w:val="000000"/>
                <w:kern w:val="0"/>
                <w:sz w:val="24"/>
              </w:rPr>
              <w:t>5</w:t>
            </w:r>
          </w:p>
        </w:tc>
        <w:tc>
          <w:tcPr>
            <w:tcW w:w="4361" w:type="dxa"/>
            <w:vAlign w:val="center"/>
          </w:tcPr>
          <w:p>
            <w:pPr>
              <w:rPr>
                <w:rFonts w:ascii="仿宋" w:hAnsi="仿宋" w:eastAsia="仿宋" w:cs="宋体"/>
                <w:color w:val="000000"/>
                <w:kern w:val="0"/>
                <w:sz w:val="24"/>
              </w:rPr>
            </w:pPr>
            <w:r>
              <w:rPr>
                <w:rFonts w:hint="eastAsia" w:ascii="仿宋" w:hAnsi="仿宋" w:eastAsia="仿宋" w:cs="宋体"/>
                <w:color w:val="000000"/>
                <w:kern w:val="0"/>
                <w:sz w:val="24"/>
              </w:rPr>
              <w:t>沧州临港兴桓科技有限公司</w:t>
            </w:r>
          </w:p>
        </w:tc>
        <w:tc>
          <w:tcPr>
            <w:tcW w:w="680" w:type="dxa"/>
            <w:vAlign w:val="center"/>
          </w:tcPr>
          <w:p>
            <w:pPr>
              <w:spacing w:line="240" w:lineRule="exact"/>
              <w:jc w:val="center"/>
              <w:rPr>
                <w:rFonts w:ascii="仿宋" w:hAnsi="仿宋" w:eastAsia="仿宋" w:cs="宋体"/>
                <w:color w:val="000000"/>
                <w:kern w:val="0"/>
                <w:sz w:val="24"/>
              </w:rPr>
            </w:pPr>
            <w:r>
              <w:rPr>
                <w:rFonts w:hint="eastAsia" w:ascii="仿宋" w:hAnsi="仿宋" w:eastAsia="仿宋" w:cs="宋体"/>
                <w:color w:val="000000"/>
                <w:kern w:val="0"/>
                <w:sz w:val="24"/>
              </w:rPr>
              <w:t>独资</w:t>
            </w:r>
          </w:p>
        </w:tc>
        <w:tc>
          <w:tcPr>
            <w:tcW w:w="944" w:type="pct"/>
            <w:vAlign w:val="center"/>
          </w:tcPr>
          <w:p>
            <w:pPr>
              <w:spacing w:line="240" w:lineRule="exact"/>
              <w:jc w:val="right"/>
              <w:rPr>
                <w:rFonts w:ascii="仿宋" w:hAnsi="仿宋" w:eastAsia="仿宋" w:cs="宋体"/>
                <w:color w:val="000000"/>
                <w:kern w:val="0"/>
                <w:sz w:val="24"/>
              </w:rPr>
            </w:pPr>
            <w:r>
              <w:rPr>
                <w:rFonts w:hint="eastAsia" w:ascii="仿宋" w:hAnsi="仿宋" w:eastAsia="仿宋" w:cs="宋体"/>
                <w:color w:val="000000"/>
                <w:kern w:val="0"/>
                <w:sz w:val="24"/>
              </w:rPr>
              <w:t>0</w:t>
            </w:r>
          </w:p>
        </w:tc>
        <w:tc>
          <w:tcPr>
            <w:tcW w:w="706" w:type="pct"/>
            <w:vAlign w:val="center"/>
          </w:tcPr>
          <w:p>
            <w:pPr>
              <w:spacing w:line="240" w:lineRule="exact"/>
              <w:jc w:val="center"/>
              <w:rPr>
                <w:rFonts w:ascii="仿宋" w:hAnsi="仿宋" w:eastAsia="仿宋" w:cs="宋体"/>
                <w:color w:val="000000"/>
                <w:kern w:val="0"/>
                <w:sz w:val="24"/>
              </w:rPr>
            </w:pPr>
            <w:r>
              <w:rPr>
                <w:rFonts w:hint="eastAsia" w:ascii="仿宋" w:hAnsi="仿宋" w:eastAsia="仿宋" w:cs="宋体"/>
                <w:color w:val="000000"/>
                <w:kern w:val="0"/>
                <w:sz w:val="24"/>
              </w:rPr>
              <w:t>未注入资本金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3349" w:type="pct"/>
            <w:gridSpan w:val="3"/>
            <w:vAlign w:val="center"/>
          </w:tcPr>
          <w:p>
            <w:pPr>
              <w:spacing w:line="240" w:lineRule="exact"/>
              <w:jc w:val="center"/>
              <w:rPr>
                <w:rFonts w:ascii="仿宋_GB2312" w:hAnsi="宋体" w:eastAsia="仿宋_GB2312"/>
                <w:b/>
                <w:bCs/>
                <w:sz w:val="22"/>
              </w:rPr>
            </w:pPr>
            <w:r>
              <w:rPr>
                <w:rFonts w:hint="eastAsia" w:ascii="仿宋_GB2312" w:hAnsi="宋体" w:eastAsia="仿宋_GB2312"/>
                <w:b/>
                <w:bCs/>
                <w:sz w:val="22"/>
              </w:rPr>
              <w:t>合    计</w:t>
            </w:r>
          </w:p>
        </w:tc>
        <w:tc>
          <w:tcPr>
            <w:tcW w:w="944" w:type="pct"/>
            <w:vAlign w:val="center"/>
          </w:tcPr>
          <w:p>
            <w:pPr>
              <w:spacing w:line="240" w:lineRule="exact"/>
              <w:jc w:val="right"/>
              <w:rPr>
                <w:rFonts w:ascii="仿宋_GB2312" w:hAnsi="宋体" w:eastAsia="仿宋_GB2312"/>
                <w:b/>
                <w:bCs/>
                <w:sz w:val="22"/>
              </w:rPr>
            </w:pPr>
            <w:r>
              <w:rPr>
                <w:rFonts w:hint="eastAsia" w:ascii="仿宋_GB2312" w:hAnsi="宋体" w:eastAsia="仿宋_GB2312"/>
                <w:b/>
                <w:bCs/>
                <w:sz w:val="22"/>
              </w:rPr>
              <w:t>0</w:t>
            </w:r>
          </w:p>
        </w:tc>
        <w:tc>
          <w:tcPr>
            <w:tcW w:w="706" w:type="pct"/>
            <w:vAlign w:val="center"/>
          </w:tcPr>
          <w:p>
            <w:pPr>
              <w:spacing w:line="240" w:lineRule="exact"/>
              <w:jc w:val="center"/>
              <w:rPr>
                <w:rFonts w:ascii="仿宋_GB2312" w:hAnsi="宋体" w:eastAsia="仿宋_GB2312"/>
                <w:b/>
                <w:bCs/>
                <w:sz w:val="22"/>
              </w:rPr>
            </w:pPr>
          </w:p>
        </w:tc>
      </w:tr>
    </w:tbl>
    <w:p>
      <w:pPr>
        <w:spacing w:line="360" w:lineRule="auto"/>
        <w:ind w:firstLine="640" w:firstLineChars="200"/>
        <w:rPr>
          <w:rFonts w:ascii="仿宋_GB2312" w:eastAsia="仿宋_GB2312"/>
          <w:sz w:val="32"/>
          <w:szCs w:val="32"/>
        </w:rPr>
      </w:pPr>
    </w:p>
    <w:p>
      <w:pPr>
        <w:numPr>
          <w:ilvl w:val="0"/>
          <w:numId w:val="1"/>
        </w:num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沧州临港兴化城市建设投资集团有限公司净利润525万元，截止到2020年12月31日，未分配利润-7784万元，需要用企业实现利润弥补，所以无上缴利润。</w:t>
      </w:r>
    </w:p>
    <w:p>
      <w:pPr>
        <w:numPr>
          <w:ilvl w:val="0"/>
          <w:numId w:val="1"/>
        </w:num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沧州临港兴化售电有限公司的国有股权目前正在进行国有股权转让正式披露，转让后，我区将不再持有该公司股权，所以无上缴利润。</w:t>
      </w:r>
    </w:p>
    <w:p>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（三）产权转让收入4520万元。</w:t>
      </w:r>
    </w:p>
    <w:p>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经沧州临港经济技术开发区管理委员会批准，沧州临港经济技术开发区管理委员会财政局持有沧州临港兴化售电有限公司90%的国有股权对外公开转让，目前已在河北产权交易市场进行正式披露，挂牌价为4520万元，最终转让价格以成立价格为准。</w:t>
      </w:r>
    </w:p>
    <w:p>
      <w:pPr>
        <w:spacing w:line="360" w:lineRule="auto"/>
        <w:ind w:firstLine="602" w:firstLineChars="200"/>
        <w:rPr>
          <w:rFonts w:ascii="仿宋" w:hAnsi="仿宋" w:eastAsia="仿宋" w:cs="仿宋"/>
          <w:b/>
          <w:bCs/>
          <w:sz w:val="30"/>
          <w:szCs w:val="30"/>
        </w:rPr>
      </w:pPr>
      <w:r>
        <w:rPr>
          <w:rFonts w:hint="eastAsia" w:ascii="仿宋" w:hAnsi="仿宋" w:eastAsia="仿宋" w:cs="仿宋"/>
          <w:b/>
          <w:bCs/>
          <w:sz w:val="30"/>
          <w:szCs w:val="30"/>
        </w:rPr>
        <w:t>四、国有资本经营预算支出情况</w:t>
      </w:r>
    </w:p>
    <w:p>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按照2021年区级国有资本经营收入预算为4520万元计算，因为经过测算2021年一般公共预算收支缺口较大，为平衡一般公共预算收支情况，调入一般公共预算2420万元，相应安排支出2100万元，具体如下：</w:t>
      </w:r>
    </w:p>
    <w:tbl>
      <w:tblPr>
        <w:tblStyle w:val="15"/>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48"/>
        <w:gridCol w:w="2359"/>
        <w:gridCol w:w="2238"/>
        <w:gridCol w:w="2214"/>
        <w:gridCol w:w="127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423" w:type="pct"/>
            <w:vAlign w:val="center"/>
          </w:tcPr>
          <w:p>
            <w:pPr>
              <w:jc w:val="center"/>
              <w:rPr>
                <w:rFonts w:ascii="仿宋" w:hAnsi="仿宋" w:eastAsia="仿宋" w:cs="仿宋"/>
                <w:b/>
                <w:sz w:val="30"/>
                <w:szCs w:val="30"/>
              </w:rPr>
            </w:pPr>
            <w:r>
              <w:rPr>
                <w:rFonts w:hint="eastAsia" w:ascii="仿宋" w:hAnsi="仿宋" w:eastAsia="仿宋" w:cs="仿宋"/>
                <w:b/>
                <w:sz w:val="30"/>
                <w:szCs w:val="30"/>
              </w:rPr>
              <w:t>序号</w:t>
            </w:r>
          </w:p>
        </w:tc>
        <w:tc>
          <w:tcPr>
            <w:tcW w:w="1335" w:type="pct"/>
            <w:vAlign w:val="center"/>
          </w:tcPr>
          <w:p>
            <w:pPr>
              <w:jc w:val="center"/>
              <w:rPr>
                <w:rFonts w:ascii="仿宋" w:hAnsi="仿宋" w:eastAsia="仿宋" w:cs="仿宋"/>
                <w:b/>
                <w:sz w:val="30"/>
                <w:szCs w:val="30"/>
              </w:rPr>
            </w:pPr>
            <w:r>
              <w:rPr>
                <w:rFonts w:hint="eastAsia" w:ascii="仿宋" w:hAnsi="仿宋" w:eastAsia="仿宋" w:cs="仿宋"/>
                <w:b/>
                <w:sz w:val="30"/>
                <w:szCs w:val="30"/>
              </w:rPr>
              <w:t>企业名称</w:t>
            </w:r>
          </w:p>
        </w:tc>
        <w:tc>
          <w:tcPr>
            <w:tcW w:w="1267" w:type="pct"/>
            <w:vAlign w:val="center"/>
          </w:tcPr>
          <w:p>
            <w:pPr>
              <w:jc w:val="center"/>
              <w:rPr>
                <w:rFonts w:ascii="仿宋" w:hAnsi="仿宋" w:eastAsia="仿宋" w:cs="仿宋"/>
                <w:b/>
                <w:sz w:val="30"/>
                <w:szCs w:val="30"/>
              </w:rPr>
            </w:pPr>
            <w:r>
              <w:rPr>
                <w:rFonts w:hint="eastAsia" w:ascii="仿宋" w:hAnsi="仿宋" w:eastAsia="仿宋" w:cs="仿宋"/>
                <w:b/>
                <w:sz w:val="30"/>
                <w:szCs w:val="30"/>
              </w:rPr>
              <w:t>支出类型</w:t>
            </w:r>
          </w:p>
        </w:tc>
        <w:tc>
          <w:tcPr>
            <w:tcW w:w="1252" w:type="pct"/>
            <w:vAlign w:val="center"/>
          </w:tcPr>
          <w:p>
            <w:pPr>
              <w:jc w:val="center"/>
              <w:rPr>
                <w:rFonts w:ascii="仿宋" w:hAnsi="仿宋" w:eastAsia="仿宋" w:cs="仿宋"/>
                <w:b/>
                <w:sz w:val="30"/>
                <w:szCs w:val="30"/>
              </w:rPr>
            </w:pPr>
            <w:r>
              <w:rPr>
                <w:rFonts w:hint="eastAsia" w:ascii="仿宋" w:hAnsi="仿宋" w:eastAsia="仿宋" w:cs="仿宋"/>
                <w:b/>
                <w:sz w:val="30"/>
                <w:szCs w:val="30"/>
              </w:rPr>
              <w:t>项目名称</w:t>
            </w:r>
          </w:p>
        </w:tc>
        <w:tc>
          <w:tcPr>
            <w:tcW w:w="721" w:type="pct"/>
            <w:vAlign w:val="center"/>
          </w:tcPr>
          <w:p>
            <w:pPr>
              <w:jc w:val="center"/>
              <w:rPr>
                <w:rFonts w:ascii="仿宋" w:hAnsi="仿宋" w:eastAsia="仿宋" w:cs="仿宋"/>
                <w:b/>
                <w:sz w:val="30"/>
                <w:szCs w:val="30"/>
              </w:rPr>
            </w:pPr>
            <w:r>
              <w:rPr>
                <w:rFonts w:hint="eastAsia" w:ascii="仿宋" w:hAnsi="仿宋" w:eastAsia="仿宋" w:cs="仿宋"/>
                <w:b/>
                <w:sz w:val="30"/>
                <w:szCs w:val="30"/>
              </w:rPr>
              <w:t>金额</w:t>
            </w:r>
          </w:p>
          <w:p>
            <w:pPr>
              <w:jc w:val="center"/>
              <w:rPr>
                <w:rFonts w:ascii="仿宋" w:hAnsi="仿宋" w:eastAsia="仿宋" w:cs="仿宋"/>
                <w:b/>
                <w:sz w:val="30"/>
                <w:szCs w:val="30"/>
              </w:rPr>
            </w:pPr>
            <w:r>
              <w:rPr>
                <w:rFonts w:hint="eastAsia" w:ascii="仿宋" w:hAnsi="仿宋" w:eastAsia="仿宋" w:cs="仿宋"/>
                <w:b/>
                <w:sz w:val="30"/>
                <w:szCs w:val="30"/>
              </w:rPr>
              <w:t>（万元）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423" w:type="pct"/>
            <w:vAlign w:val="center"/>
          </w:tcPr>
          <w:p>
            <w:pPr>
              <w:jc w:val="center"/>
              <w:rPr>
                <w:rFonts w:ascii="仿宋" w:hAnsi="仿宋" w:eastAsia="仿宋" w:cs="仿宋"/>
                <w:sz w:val="30"/>
                <w:szCs w:val="30"/>
              </w:rPr>
            </w:pPr>
            <w:r>
              <w:rPr>
                <w:rFonts w:hint="eastAsia" w:ascii="仿宋" w:hAnsi="仿宋" w:eastAsia="仿宋" w:cs="仿宋"/>
                <w:sz w:val="30"/>
                <w:szCs w:val="30"/>
              </w:rPr>
              <w:t>1</w:t>
            </w:r>
          </w:p>
        </w:tc>
        <w:tc>
          <w:tcPr>
            <w:tcW w:w="1335" w:type="pct"/>
            <w:vAlign w:val="center"/>
          </w:tcPr>
          <w:p>
            <w:pPr>
              <w:jc w:val="center"/>
              <w:rPr>
                <w:rFonts w:ascii="仿宋" w:hAnsi="仿宋" w:eastAsia="仿宋" w:cs="仿宋"/>
                <w:spacing w:val="-10"/>
                <w:sz w:val="30"/>
                <w:szCs w:val="30"/>
              </w:rPr>
            </w:pPr>
            <w:r>
              <w:rPr>
                <w:rFonts w:hint="eastAsia" w:ascii="仿宋" w:hAnsi="仿宋" w:eastAsia="仿宋" w:cs="仿宋"/>
                <w:spacing w:val="-10"/>
                <w:sz w:val="30"/>
                <w:szCs w:val="30"/>
              </w:rPr>
              <w:t>沧州临港兴泓科技发展有限公司</w:t>
            </w:r>
          </w:p>
        </w:tc>
        <w:tc>
          <w:tcPr>
            <w:tcW w:w="1267" w:type="pct"/>
            <w:vAlign w:val="center"/>
          </w:tcPr>
          <w:p>
            <w:pPr>
              <w:jc w:val="center"/>
              <w:rPr>
                <w:rFonts w:ascii="仿宋" w:hAnsi="仿宋" w:eastAsia="仿宋" w:cs="仿宋"/>
                <w:sz w:val="30"/>
                <w:szCs w:val="30"/>
              </w:rPr>
            </w:pPr>
            <w:r>
              <w:rPr>
                <w:rFonts w:hint="eastAsia" w:ascii="仿宋" w:hAnsi="仿宋" w:eastAsia="仿宋" w:cs="仿宋"/>
                <w:spacing w:val="-6"/>
                <w:sz w:val="30"/>
                <w:szCs w:val="30"/>
              </w:rPr>
              <w:t>重要行业资本金注入</w:t>
            </w:r>
          </w:p>
        </w:tc>
        <w:tc>
          <w:tcPr>
            <w:tcW w:w="1252" w:type="pct"/>
            <w:vAlign w:val="center"/>
          </w:tcPr>
          <w:p>
            <w:pPr>
              <w:jc w:val="center"/>
              <w:rPr>
                <w:rFonts w:ascii="仿宋" w:hAnsi="仿宋" w:eastAsia="仿宋" w:cs="仿宋"/>
                <w:sz w:val="30"/>
                <w:szCs w:val="30"/>
              </w:rPr>
            </w:pPr>
            <w:r>
              <w:rPr>
                <w:rFonts w:hint="eastAsia" w:ascii="仿宋" w:hAnsi="仿宋" w:eastAsia="仿宋" w:cs="仿宋"/>
                <w:sz w:val="30"/>
                <w:szCs w:val="30"/>
              </w:rPr>
              <w:t>资本金注入</w:t>
            </w:r>
          </w:p>
        </w:tc>
        <w:tc>
          <w:tcPr>
            <w:tcW w:w="721" w:type="pct"/>
            <w:vAlign w:val="center"/>
          </w:tcPr>
          <w:p>
            <w:pPr>
              <w:jc w:val="right"/>
              <w:rPr>
                <w:rFonts w:ascii="仿宋" w:hAnsi="仿宋" w:eastAsia="仿宋" w:cs="仿宋"/>
                <w:sz w:val="30"/>
                <w:szCs w:val="30"/>
              </w:rPr>
            </w:pPr>
            <w:r>
              <w:rPr>
                <w:rFonts w:hint="eastAsia" w:ascii="仿宋" w:hAnsi="仿宋" w:eastAsia="仿宋" w:cs="仿宋"/>
                <w:sz w:val="30"/>
                <w:szCs w:val="30"/>
              </w:rPr>
              <w:t>600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423" w:type="pct"/>
            <w:vAlign w:val="center"/>
          </w:tcPr>
          <w:p>
            <w:pPr>
              <w:jc w:val="center"/>
              <w:rPr>
                <w:rFonts w:ascii="仿宋" w:hAnsi="仿宋" w:eastAsia="仿宋" w:cs="仿宋"/>
                <w:sz w:val="30"/>
                <w:szCs w:val="30"/>
              </w:rPr>
            </w:pPr>
            <w:r>
              <w:rPr>
                <w:rFonts w:hint="eastAsia" w:ascii="仿宋" w:hAnsi="仿宋" w:eastAsia="仿宋" w:cs="仿宋"/>
                <w:sz w:val="30"/>
                <w:szCs w:val="30"/>
              </w:rPr>
              <w:t>2</w:t>
            </w:r>
          </w:p>
        </w:tc>
        <w:tc>
          <w:tcPr>
            <w:tcW w:w="1335" w:type="pct"/>
            <w:vAlign w:val="center"/>
          </w:tcPr>
          <w:p>
            <w:pPr>
              <w:jc w:val="center"/>
              <w:rPr>
                <w:rFonts w:ascii="仿宋" w:hAnsi="仿宋" w:eastAsia="仿宋" w:cs="仿宋"/>
                <w:spacing w:val="-10"/>
                <w:sz w:val="30"/>
                <w:szCs w:val="30"/>
                <w:lang w:eastAsia="en-US" w:bidi="en-US"/>
              </w:rPr>
            </w:pPr>
            <w:r>
              <w:rPr>
                <w:rFonts w:hint="eastAsia" w:ascii="仿宋" w:hAnsi="仿宋" w:eastAsia="仿宋" w:cs="仿宋"/>
                <w:spacing w:val="-10"/>
                <w:sz w:val="30"/>
                <w:szCs w:val="30"/>
              </w:rPr>
              <w:t>沧州临港兴桓科技有限公司</w:t>
            </w:r>
          </w:p>
        </w:tc>
        <w:tc>
          <w:tcPr>
            <w:tcW w:w="1267" w:type="pct"/>
            <w:vAlign w:val="center"/>
          </w:tcPr>
          <w:p>
            <w:pPr>
              <w:jc w:val="center"/>
              <w:rPr>
                <w:rFonts w:ascii="仿宋" w:hAnsi="仿宋" w:eastAsia="仿宋" w:cs="仿宋"/>
                <w:sz w:val="30"/>
                <w:szCs w:val="30"/>
                <w:lang w:bidi="en-US"/>
              </w:rPr>
            </w:pPr>
            <w:r>
              <w:rPr>
                <w:rFonts w:hint="eastAsia" w:ascii="仿宋" w:hAnsi="仿宋" w:eastAsia="仿宋" w:cs="仿宋"/>
                <w:spacing w:val="-6"/>
                <w:sz w:val="30"/>
                <w:szCs w:val="30"/>
              </w:rPr>
              <w:t>重要行业资本金注入</w:t>
            </w:r>
          </w:p>
        </w:tc>
        <w:tc>
          <w:tcPr>
            <w:tcW w:w="1252" w:type="pct"/>
            <w:vAlign w:val="center"/>
          </w:tcPr>
          <w:p>
            <w:pPr>
              <w:jc w:val="center"/>
              <w:rPr>
                <w:rFonts w:ascii="仿宋" w:hAnsi="仿宋" w:eastAsia="仿宋" w:cs="仿宋"/>
                <w:sz w:val="30"/>
                <w:szCs w:val="30"/>
                <w:lang w:eastAsia="en-US" w:bidi="en-US"/>
              </w:rPr>
            </w:pPr>
            <w:r>
              <w:rPr>
                <w:rFonts w:hint="eastAsia" w:ascii="仿宋" w:hAnsi="仿宋" w:eastAsia="仿宋" w:cs="仿宋"/>
                <w:sz w:val="30"/>
                <w:szCs w:val="30"/>
              </w:rPr>
              <w:t>资本金注入</w:t>
            </w:r>
          </w:p>
        </w:tc>
        <w:tc>
          <w:tcPr>
            <w:tcW w:w="721" w:type="pct"/>
            <w:vAlign w:val="center"/>
          </w:tcPr>
          <w:p>
            <w:pPr>
              <w:jc w:val="right"/>
              <w:rPr>
                <w:rFonts w:ascii="仿宋" w:hAnsi="仿宋" w:eastAsia="仿宋" w:cs="仿宋"/>
                <w:sz w:val="30"/>
                <w:szCs w:val="30"/>
              </w:rPr>
            </w:pPr>
            <w:r>
              <w:rPr>
                <w:rFonts w:hint="eastAsia" w:ascii="仿宋" w:hAnsi="仿宋" w:eastAsia="仿宋" w:cs="仿宋"/>
                <w:sz w:val="30"/>
                <w:szCs w:val="30"/>
              </w:rPr>
              <w:t>500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721" w:type="dxa"/>
            <w:vAlign w:val="center"/>
          </w:tcPr>
          <w:p>
            <w:pPr>
              <w:jc w:val="center"/>
              <w:rPr>
                <w:rFonts w:ascii="仿宋" w:hAnsi="仿宋" w:eastAsia="仿宋" w:cs="仿宋"/>
                <w:sz w:val="30"/>
                <w:szCs w:val="30"/>
              </w:rPr>
            </w:pPr>
            <w:r>
              <w:rPr>
                <w:rFonts w:hint="eastAsia" w:ascii="仿宋" w:hAnsi="仿宋" w:eastAsia="仿宋" w:cs="仿宋"/>
                <w:sz w:val="30"/>
                <w:szCs w:val="30"/>
              </w:rPr>
              <w:t>2</w:t>
            </w:r>
          </w:p>
        </w:tc>
        <w:tc>
          <w:tcPr>
            <w:tcW w:w="2277" w:type="dxa"/>
            <w:vAlign w:val="center"/>
          </w:tcPr>
          <w:p>
            <w:pPr>
              <w:jc w:val="center"/>
              <w:rPr>
                <w:rFonts w:ascii="仿宋" w:hAnsi="仿宋" w:eastAsia="仿宋" w:cs="仿宋"/>
                <w:spacing w:val="-10"/>
                <w:sz w:val="30"/>
                <w:szCs w:val="30"/>
              </w:rPr>
            </w:pPr>
            <w:r>
              <w:rPr>
                <w:rFonts w:hint="eastAsia" w:ascii="仿宋" w:hAnsi="仿宋" w:eastAsia="仿宋" w:cs="仿宋"/>
                <w:spacing w:val="-10"/>
                <w:sz w:val="30"/>
                <w:szCs w:val="30"/>
              </w:rPr>
              <w:t>沧州临港兴化城市建设投资集团有限公司</w:t>
            </w:r>
          </w:p>
        </w:tc>
        <w:tc>
          <w:tcPr>
            <w:tcW w:w="2160" w:type="dxa"/>
            <w:vAlign w:val="center"/>
          </w:tcPr>
          <w:p>
            <w:pPr>
              <w:jc w:val="center"/>
              <w:rPr>
                <w:rFonts w:ascii="仿宋" w:hAnsi="仿宋" w:eastAsia="仿宋" w:cs="仿宋"/>
                <w:spacing w:val="-6"/>
                <w:sz w:val="30"/>
                <w:szCs w:val="30"/>
              </w:rPr>
            </w:pPr>
            <w:r>
              <w:rPr>
                <w:rFonts w:hint="eastAsia" w:ascii="仿宋" w:hAnsi="仿宋" w:eastAsia="仿宋" w:cs="仿宋"/>
                <w:spacing w:val="-6"/>
                <w:sz w:val="30"/>
                <w:szCs w:val="30"/>
              </w:rPr>
              <w:t>重要行业资本金注入</w:t>
            </w:r>
          </w:p>
        </w:tc>
        <w:tc>
          <w:tcPr>
            <w:tcW w:w="2134" w:type="dxa"/>
            <w:vAlign w:val="center"/>
          </w:tcPr>
          <w:p>
            <w:pPr>
              <w:jc w:val="center"/>
              <w:rPr>
                <w:rFonts w:ascii="仿宋" w:hAnsi="仿宋" w:eastAsia="仿宋" w:cs="仿宋"/>
                <w:sz w:val="30"/>
                <w:szCs w:val="30"/>
              </w:rPr>
            </w:pPr>
            <w:r>
              <w:rPr>
                <w:rFonts w:hint="eastAsia" w:ascii="仿宋" w:hAnsi="仿宋" w:eastAsia="仿宋" w:cs="仿宋"/>
                <w:sz w:val="30"/>
                <w:szCs w:val="30"/>
              </w:rPr>
              <w:t>资本金注入</w:t>
            </w:r>
          </w:p>
        </w:tc>
        <w:tc>
          <w:tcPr>
            <w:tcW w:w="721" w:type="pct"/>
            <w:vAlign w:val="center"/>
          </w:tcPr>
          <w:p>
            <w:pPr>
              <w:jc w:val="right"/>
              <w:rPr>
                <w:rFonts w:ascii="仿宋" w:hAnsi="仿宋" w:eastAsia="仿宋" w:cs="仿宋"/>
                <w:sz w:val="30"/>
                <w:szCs w:val="30"/>
              </w:rPr>
            </w:pPr>
            <w:r>
              <w:rPr>
                <w:rFonts w:hint="eastAsia" w:ascii="仿宋" w:hAnsi="仿宋" w:eastAsia="仿宋" w:cs="仿宋"/>
                <w:sz w:val="30"/>
                <w:szCs w:val="30"/>
              </w:rPr>
              <w:t>1,000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4278" w:type="pct"/>
            <w:gridSpan w:val="4"/>
            <w:vAlign w:val="center"/>
          </w:tcPr>
          <w:p>
            <w:pPr>
              <w:jc w:val="center"/>
              <w:rPr>
                <w:rFonts w:ascii="仿宋" w:hAnsi="仿宋" w:eastAsia="仿宋" w:cs="仿宋"/>
                <w:b/>
                <w:bCs/>
                <w:sz w:val="30"/>
                <w:szCs w:val="30"/>
              </w:rPr>
            </w:pPr>
            <w:r>
              <w:rPr>
                <w:rFonts w:hint="eastAsia" w:ascii="仿宋" w:hAnsi="仿宋" w:eastAsia="仿宋" w:cs="仿宋"/>
                <w:b/>
                <w:bCs/>
                <w:sz w:val="30"/>
                <w:szCs w:val="30"/>
              </w:rPr>
              <w:t>合  计</w:t>
            </w:r>
          </w:p>
        </w:tc>
        <w:tc>
          <w:tcPr>
            <w:tcW w:w="721" w:type="pct"/>
            <w:vAlign w:val="center"/>
          </w:tcPr>
          <w:p>
            <w:pPr>
              <w:jc w:val="right"/>
              <w:rPr>
                <w:rFonts w:ascii="仿宋" w:hAnsi="仿宋" w:eastAsia="仿宋" w:cs="仿宋"/>
                <w:b/>
                <w:bCs/>
                <w:sz w:val="30"/>
                <w:szCs w:val="30"/>
              </w:rPr>
            </w:pPr>
            <w:r>
              <w:rPr>
                <w:rFonts w:hint="eastAsia" w:ascii="仿宋" w:hAnsi="仿宋" w:eastAsia="仿宋" w:cs="仿宋"/>
                <w:b/>
                <w:bCs/>
                <w:sz w:val="30"/>
                <w:szCs w:val="30"/>
              </w:rPr>
              <w:t>2,100</w:t>
            </w:r>
          </w:p>
        </w:tc>
      </w:tr>
    </w:tbl>
    <w:p>
      <w:pPr>
        <w:numPr>
          <w:ilvl w:val="0"/>
          <w:numId w:val="2"/>
        </w:num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支持沧州临港兴泓科技发展有限公司600万元，用于注入沧州临港兴泓科技发展有限公司资本金项目。</w:t>
      </w:r>
    </w:p>
    <w:p>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2、支持沧州临港兴桓科技有限公司500万元，用于注入沧州临港兴桓科技有限公司资本金项目。</w:t>
      </w:r>
    </w:p>
    <w:p>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3、支持沧州临港兴化城市建设投资集团有限公司1000万元，用于注入沧州临港兴化城市建设投资集团有限公司资本金项目。</w:t>
      </w:r>
    </w:p>
    <w:p>
      <w:pPr>
        <w:spacing w:line="360" w:lineRule="auto"/>
        <w:rPr>
          <w:rFonts w:ascii="仿宋" w:hAnsi="仿宋" w:eastAsia="仿宋" w:cs="仿宋"/>
          <w:b/>
          <w:color w:val="000000" w:themeColor="text1"/>
          <w:sz w:val="30"/>
          <w:szCs w:val="30"/>
        </w:rPr>
      </w:pPr>
    </w:p>
    <w:p>
      <w:pPr>
        <w:spacing w:line="360" w:lineRule="auto"/>
        <w:ind w:firstLine="1937" w:firstLineChars="643"/>
        <w:outlineLvl w:val="0"/>
        <w:rPr>
          <w:rFonts w:ascii="仿宋" w:hAnsi="仿宋" w:eastAsia="仿宋" w:cs="仿宋"/>
          <w:b/>
          <w:color w:val="000000" w:themeColor="text1"/>
          <w:sz w:val="30"/>
          <w:szCs w:val="30"/>
        </w:rPr>
      </w:pPr>
    </w:p>
    <w:p>
      <w:pPr>
        <w:spacing w:line="360" w:lineRule="auto"/>
        <w:rPr>
          <w:rFonts w:ascii="仿宋" w:hAnsi="仿宋" w:eastAsia="仿宋" w:cs="仿宋"/>
          <w:color w:val="000000" w:themeColor="text1"/>
          <w:sz w:val="30"/>
          <w:szCs w:val="30"/>
        </w:rPr>
      </w:pPr>
    </w:p>
    <w:p>
      <w:pPr>
        <w:spacing w:line="360" w:lineRule="auto"/>
        <w:rPr>
          <w:rFonts w:ascii="仿宋" w:hAnsi="仿宋" w:eastAsia="仿宋" w:cs="仿宋"/>
          <w:color w:val="000000" w:themeColor="text1"/>
          <w:sz w:val="30"/>
          <w:szCs w:val="30"/>
        </w:rPr>
      </w:pPr>
    </w:p>
    <w:p>
      <w:pPr>
        <w:spacing w:line="360" w:lineRule="auto"/>
        <w:rPr>
          <w:rFonts w:ascii="仿宋" w:hAnsi="仿宋" w:eastAsia="仿宋" w:cs="仿宋"/>
          <w:color w:val="000000" w:themeColor="text1"/>
          <w:sz w:val="30"/>
          <w:szCs w:val="30"/>
        </w:rPr>
      </w:pPr>
    </w:p>
    <w:sectPr>
      <w:footerReference r:id="rId6" w:type="first"/>
      <w:pgSz w:w="11906" w:h="16838"/>
      <w:pgMar w:top="1440" w:right="1701" w:bottom="1440" w:left="1588" w:header="709" w:footer="709" w:gutter="0"/>
      <w:pgNumType w:start="1"/>
      <w:cols w:space="708" w:num="1"/>
      <w:titlePg/>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方正黑体_GBK"/>
    <w:panose1 w:val="020B0503020204020204"/>
    <w:charset w:val="86"/>
    <w:family w:val="swiss"/>
    <w:pitch w:val="default"/>
    <w:sig w:usb0="00000000" w:usb1="00000000" w:usb2="00000016" w:usb3="00000000" w:csb0="0004001F" w:csb1="00000000"/>
  </w:font>
  <w:font w:name="Cambria">
    <w:altName w:val="Noto Sans Syriac Eastern"/>
    <w:panose1 w:val="02040503050406030204"/>
    <w:charset w:val="00"/>
    <w:family w:val="roman"/>
    <w:pitch w:val="default"/>
    <w:sig w:usb0="00000000" w:usb1="00000000" w:usb2="02000000" w:usb3="00000000" w:csb0="2000019F" w:csb1="00000000"/>
  </w:font>
  <w:font w:name="楷体_GB2312">
    <w:altName w:val="方正楷体_GBK"/>
    <w:panose1 w:val="00000000000000000000"/>
    <w:charset w:val="86"/>
    <w:family w:val="modern"/>
    <w:pitch w:val="default"/>
    <w:sig w:usb0="00000000" w:usb1="00000000" w:usb2="00000010" w:usb3="00000000" w:csb0="00040000" w:csb1="00000000"/>
  </w:font>
  <w:font w:name="仿宋_GB2312">
    <w:altName w:val="方正仿宋_GBK"/>
    <w:panose1 w:val="00000000000000000000"/>
    <w:charset w:val="00"/>
    <w:family w:val="auto"/>
    <w:pitch w:val="default"/>
    <w:sig w:usb0="00000000" w:usb1="00000000" w:usb2="0000001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rPr>
        <w:rFonts w:ascii="仿宋" w:eastAsia="仿宋"/>
        <w:sz w:val="28"/>
        <w:lang w:eastAsia="zh-CN"/>
      </w:rPr>
    </w:pPr>
    <w:r>
      <w:rPr>
        <w:rFonts w:ascii="仿宋" w:hAnsi="仿宋" w:eastAsia="仿宋"/>
        <w:sz w:val="28"/>
        <w:szCs w:val="32"/>
        <w:lang w:eastAsia="zh-CN"/>
      </w:rPr>
      <w:t>-</w:t>
    </w:r>
    <w:r>
      <w:rPr>
        <w:rFonts w:ascii="仿宋" w:eastAsia="仿宋"/>
        <w:sz w:val="28"/>
        <w:szCs w:val="32"/>
      </w:rPr>
      <w:fldChar w:fldCharType="begin"/>
    </w:r>
    <w:r>
      <w:rPr>
        <w:rFonts w:ascii="仿宋" w:eastAsia="仿宋"/>
        <w:sz w:val="28"/>
        <w:szCs w:val="32"/>
      </w:rPr>
      <w:instrText xml:space="preserve"> PAGE   \* MERGEFORMAT </w:instrText>
    </w:r>
    <w:r>
      <w:rPr>
        <w:rFonts w:ascii="仿宋" w:eastAsia="仿宋"/>
        <w:sz w:val="28"/>
        <w:szCs w:val="32"/>
      </w:rPr>
      <w:fldChar w:fldCharType="separate"/>
    </w:r>
    <w:r>
      <w:rPr>
        <w:rFonts w:ascii="仿宋" w:eastAsia="仿宋"/>
        <w:sz w:val="28"/>
        <w:szCs w:val="32"/>
        <w:lang w:val="zh-CN"/>
      </w:rPr>
      <w:t>15</w:t>
    </w:r>
    <w:r>
      <w:rPr>
        <w:rFonts w:ascii="仿宋" w:eastAsia="仿宋"/>
        <w:sz w:val="28"/>
        <w:szCs w:val="32"/>
      </w:rPr>
      <w:fldChar w:fldCharType="end"/>
    </w:r>
    <w:r>
      <w:rPr>
        <w:rFonts w:ascii="仿宋" w:hAnsi="仿宋" w:eastAsia="仿宋"/>
        <w:sz w:val="28"/>
        <w:szCs w:val="32"/>
        <w:lang w:eastAsia="zh-CN"/>
      </w:rPr>
      <w:t>-</w:t>
    </w:r>
  </w:p>
  <w:p>
    <w:pPr>
      <w:pStyle w:val="1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7840" w:firstLineChars="2800"/>
      <w:rPr>
        <w:rFonts w:ascii="仿宋" w:hAnsi="仿宋" w:eastAsia="仿宋"/>
        <w:sz w:val="28"/>
        <w:szCs w:val="21"/>
        <w:lang w:eastAsia="zh-CN"/>
      </w:rPr>
    </w:pPr>
  </w:p>
  <w:p>
    <w:pPr>
      <w:pStyle w:val="10"/>
      <w:rPr>
        <w:rFonts w:ascii="仿宋" w:hAnsi="仿宋" w:eastAsia="仿宋"/>
        <w:sz w:val="28"/>
        <w:szCs w:val="21"/>
        <w:lang w:eastAsia="zh-CN"/>
      </w:rPr>
    </w:pPr>
    <w:r>
      <w:rPr>
        <w:rFonts w:ascii="仿宋" w:hAnsi="仿宋" w:eastAsia="仿宋"/>
        <w:sz w:val="28"/>
        <w:szCs w:val="21"/>
        <w:lang w:eastAsia="zh-CN"/>
      </w:rPr>
      <w:t>-</w:t>
    </w:r>
    <w:r>
      <w:rPr>
        <w:rFonts w:ascii="仿宋" w:hAnsi="仿宋" w:eastAsia="仿宋"/>
        <w:sz w:val="28"/>
        <w:szCs w:val="21"/>
      </w:rPr>
      <w:fldChar w:fldCharType="begin"/>
    </w:r>
    <w:r>
      <w:rPr>
        <w:rFonts w:ascii="仿宋" w:hAnsi="仿宋" w:eastAsia="仿宋"/>
        <w:sz w:val="28"/>
        <w:szCs w:val="21"/>
      </w:rPr>
      <w:instrText xml:space="preserve"> PAGE   \* MERGEFORMAT </w:instrText>
    </w:r>
    <w:r>
      <w:rPr>
        <w:rFonts w:ascii="仿宋" w:hAnsi="仿宋" w:eastAsia="仿宋"/>
        <w:sz w:val="28"/>
        <w:szCs w:val="21"/>
      </w:rPr>
      <w:fldChar w:fldCharType="separate"/>
    </w:r>
    <w:r>
      <w:rPr>
        <w:rFonts w:ascii="仿宋" w:hAnsi="仿宋" w:eastAsia="仿宋"/>
        <w:sz w:val="28"/>
        <w:szCs w:val="21"/>
        <w:lang w:val="zh-CN"/>
      </w:rPr>
      <w:t>14</w:t>
    </w:r>
    <w:r>
      <w:rPr>
        <w:rFonts w:ascii="仿宋" w:hAnsi="仿宋" w:eastAsia="仿宋"/>
        <w:sz w:val="28"/>
        <w:szCs w:val="21"/>
      </w:rPr>
      <w:fldChar w:fldCharType="end"/>
    </w:r>
    <w:r>
      <w:rPr>
        <w:rFonts w:ascii="仿宋" w:hAnsi="仿宋" w:eastAsia="仿宋"/>
        <w:sz w:val="28"/>
        <w:szCs w:val="21"/>
        <w:lang w:eastAsia="zh-CN"/>
      </w:rPr>
      <w:t>-</w:t>
    </w: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560"/>
      <w:jc w:val="right"/>
      <w:rPr>
        <w:rFonts w:ascii="仿宋" w:eastAsia="仿宋"/>
        <w:sz w:val="28"/>
        <w:lang w:eastAsia="zh-CN"/>
      </w:rPr>
    </w:pPr>
    <w:r>
      <w:rPr>
        <w:rFonts w:ascii="仿宋" w:hAnsi="仿宋" w:eastAsia="仿宋"/>
        <w:sz w:val="28"/>
        <w:szCs w:val="32"/>
        <w:lang w:eastAsia="zh-CN"/>
      </w:rPr>
      <w:t>-</w:t>
    </w:r>
    <w:r>
      <w:rPr>
        <w:rFonts w:ascii="仿宋" w:eastAsia="仿宋"/>
        <w:sz w:val="28"/>
        <w:szCs w:val="32"/>
      </w:rPr>
      <w:fldChar w:fldCharType="begin"/>
    </w:r>
    <w:r>
      <w:rPr>
        <w:rFonts w:ascii="仿宋" w:eastAsia="仿宋"/>
        <w:sz w:val="28"/>
        <w:szCs w:val="32"/>
      </w:rPr>
      <w:instrText xml:space="preserve"> PAGE   \* MERGEFORMAT </w:instrText>
    </w:r>
    <w:r>
      <w:rPr>
        <w:rFonts w:ascii="仿宋" w:eastAsia="仿宋"/>
        <w:sz w:val="28"/>
        <w:szCs w:val="32"/>
      </w:rPr>
      <w:fldChar w:fldCharType="separate"/>
    </w:r>
    <w:r>
      <w:rPr>
        <w:rFonts w:ascii="仿宋" w:eastAsia="仿宋"/>
        <w:sz w:val="28"/>
        <w:szCs w:val="32"/>
        <w:lang w:val="zh-CN"/>
      </w:rPr>
      <w:t>1</w:t>
    </w:r>
    <w:r>
      <w:rPr>
        <w:rFonts w:ascii="仿宋" w:eastAsia="仿宋"/>
        <w:sz w:val="28"/>
        <w:szCs w:val="32"/>
      </w:rPr>
      <w:fldChar w:fldCharType="end"/>
    </w:r>
    <w:r>
      <w:rPr>
        <w:rFonts w:ascii="仿宋" w:hAnsi="仿宋" w:eastAsia="仿宋"/>
        <w:sz w:val="28"/>
        <w:szCs w:val="32"/>
        <w:lang w:eastAsia="zh-CN"/>
      </w:rPr>
      <w:t>-</w:t>
    </w:r>
  </w:p>
  <w:p>
    <w:pPr>
      <w:pStyle w:val="10"/>
      <w:jc w:val="right"/>
    </w:pP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rPr>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3D903C"/>
    <w:multiLevelType w:val="singleLevel"/>
    <w:tmpl w:val="853D903C"/>
    <w:lvl w:ilvl="0" w:tentative="0">
      <w:start w:val="1"/>
      <w:numFmt w:val="decimal"/>
      <w:suff w:val="nothing"/>
      <w:lvlText w:val="%1、"/>
      <w:lvlJc w:val="left"/>
    </w:lvl>
  </w:abstractNum>
  <w:abstractNum w:abstractNumId="1">
    <w:nsid w:val="18B49EB5"/>
    <w:multiLevelType w:val="singleLevel"/>
    <w:tmpl w:val="18B49EB5"/>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true"/>
  <w:bordersDoNotSurroundFooter w:val="true"/>
  <w:documentProtection w:enforcement="0"/>
  <w:defaultTabStop w:val="720"/>
  <w:evenAndOddHeaders w:val="true"/>
  <w:drawingGridHorizontalSpacing w:val="105"/>
  <w:displayHorizontalDrawingGridEvery w:val="2"/>
  <w:displayVerticalDrawingGridEvery w:val="2"/>
  <w:characterSpacingControl w:val="doNotCompress"/>
  <w:noLineBreaksAfter w:lang="zh-CN" w:val="$([{£¥·‘“〈《「『【〔〖〝﹙﹛﹝＄（．［｛￡￥"/>
  <w:noLineBreaksBefore w:lang="zh-CN" w:val="!%),.:;&gt;?]}¢¨°·ˇˉ―‖’”…‰′″›℃∶、。〃〉》」』】〕〗〞︶︺︾﹀﹄﹚﹜﹞！＂％＇），．：；？］｀｜｝～￠"/>
  <w:compat>
    <w:useFELayout/>
    <w:compatSetting w:name="compatibilityMode" w:uri="http://schemas.microsoft.com/office/word" w:val="12"/>
  </w:compat>
  <w:rsids>
    <w:rsidRoot w:val="00D31D50"/>
    <w:rsid w:val="000004C5"/>
    <w:rsid w:val="000008D2"/>
    <w:rsid w:val="00000FE9"/>
    <w:rsid w:val="000011FC"/>
    <w:rsid w:val="0000344C"/>
    <w:rsid w:val="000038FE"/>
    <w:rsid w:val="00003977"/>
    <w:rsid w:val="00004763"/>
    <w:rsid w:val="00004C9A"/>
    <w:rsid w:val="00004FFC"/>
    <w:rsid w:val="000062CD"/>
    <w:rsid w:val="00007066"/>
    <w:rsid w:val="0001112D"/>
    <w:rsid w:val="00016330"/>
    <w:rsid w:val="00020441"/>
    <w:rsid w:val="000211A0"/>
    <w:rsid w:val="00022321"/>
    <w:rsid w:val="00023A65"/>
    <w:rsid w:val="0002417F"/>
    <w:rsid w:val="00025083"/>
    <w:rsid w:val="00026EC0"/>
    <w:rsid w:val="00030F05"/>
    <w:rsid w:val="0003273A"/>
    <w:rsid w:val="00032B48"/>
    <w:rsid w:val="000356B4"/>
    <w:rsid w:val="00035DBE"/>
    <w:rsid w:val="00036F3A"/>
    <w:rsid w:val="00037636"/>
    <w:rsid w:val="0004007B"/>
    <w:rsid w:val="0004025A"/>
    <w:rsid w:val="000419E0"/>
    <w:rsid w:val="000420FB"/>
    <w:rsid w:val="0004231E"/>
    <w:rsid w:val="00042799"/>
    <w:rsid w:val="00042B39"/>
    <w:rsid w:val="00042C32"/>
    <w:rsid w:val="00050F9D"/>
    <w:rsid w:val="000517A3"/>
    <w:rsid w:val="00052C4A"/>
    <w:rsid w:val="0005311A"/>
    <w:rsid w:val="000539D1"/>
    <w:rsid w:val="00053FC4"/>
    <w:rsid w:val="0005460C"/>
    <w:rsid w:val="00054880"/>
    <w:rsid w:val="00054A90"/>
    <w:rsid w:val="0005597A"/>
    <w:rsid w:val="00055B47"/>
    <w:rsid w:val="000560C9"/>
    <w:rsid w:val="00061369"/>
    <w:rsid w:val="00062F6A"/>
    <w:rsid w:val="00063163"/>
    <w:rsid w:val="000655D0"/>
    <w:rsid w:val="00066391"/>
    <w:rsid w:val="00066459"/>
    <w:rsid w:val="00067520"/>
    <w:rsid w:val="00070D20"/>
    <w:rsid w:val="00071712"/>
    <w:rsid w:val="000724CE"/>
    <w:rsid w:val="000727C3"/>
    <w:rsid w:val="000735AF"/>
    <w:rsid w:val="00073BDF"/>
    <w:rsid w:val="00074C92"/>
    <w:rsid w:val="00074D6E"/>
    <w:rsid w:val="000761F9"/>
    <w:rsid w:val="00077242"/>
    <w:rsid w:val="000778DF"/>
    <w:rsid w:val="00081682"/>
    <w:rsid w:val="000818FA"/>
    <w:rsid w:val="00084E1B"/>
    <w:rsid w:val="00085122"/>
    <w:rsid w:val="00085C32"/>
    <w:rsid w:val="000866D5"/>
    <w:rsid w:val="0009092F"/>
    <w:rsid w:val="00090D0E"/>
    <w:rsid w:val="0009189E"/>
    <w:rsid w:val="00095710"/>
    <w:rsid w:val="00097080"/>
    <w:rsid w:val="00097E1E"/>
    <w:rsid w:val="000A06E0"/>
    <w:rsid w:val="000A3B4D"/>
    <w:rsid w:val="000A4A25"/>
    <w:rsid w:val="000A4E18"/>
    <w:rsid w:val="000A6B3D"/>
    <w:rsid w:val="000A7990"/>
    <w:rsid w:val="000B08A7"/>
    <w:rsid w:val="000B178F"/>
    <w:rsid w:val="000B1D06"/>
    <w:rsid w:val="000B2296"/>
    <w:rsid w:val="000C083B"/>
    <w:rsid w:val="000C0ECA"/>
    <w:rsid w:val="000C0ED2"/>
    <w:rsid w:val="000C1E3F"/>
    <w:rsid w:val="000C2124"/>
    <w:rsid w:val="000C2B02"/>
    <w:rsid w:val="000C33F5"/>
    <w:rsid w:val="000C6F75"/>
    <w:rsid w:val="000C72C7"/>
    <w:rsid w:val="000D19B3"/>
    <w:rsid w:val="000D19F5"/>
    <w:rsid w:val="000D3DB3"/>
    <w:rsid w:val="000D5DB6"/>
    <w:rsid w:val="000D6B6E"/>
    <w:rsid w:val="000D6E4F"/>
    <w:rsid w:val="000D752C"/>
    <w:rsid w:val="000E011F"/>
    <w:rsid w:val="000E3DC2"/>
    <w:rsid w:val="000E41F8"/>
    <w:rsid w:val="000E4417"/>
    <w:rsid w:val="000E5F49"/>
    <w:rsid w:val="000E7659"/>
    <w:rsid w:val="000E76EB"/>
    <w:rsid w:val="000E7CA4"/>
    <w:rsid w:val="000F0F51"/>
    <w:rsid w:val="000F1AFF"/>
    <w:rsid w:val="000F22F0"/>
    <w:rsid w:val="000F2F6B"/>
    <w:rsid w:val="000F38DE"/>
    <w:rsid w:val="000F74E9"/>
    <w:rsid w:val="000F7B9B"/>
    <w:rsid w:val="001000A6"/>
    <w:rsid w:val="00100C16"/>
    <w:rsid w:val="00103CF2"/>
    <w:rsid w:val="00105B57"/>
    <w:rsid w:val="001060A2"/>
    <w:rsid w:val="001127E5"/>
    <w:rsid w:val="00122995"/>
    <w:rsid w:val="00124964"/>
    <w:rsid w:val="001256EC"/>
    <w:rsid w:val="00126051"/>
    <w:rsid w:val="001307A3"/>
    <w:rsid w:val="00130F2B"/>
    <w:rsid w:val="00131C73"/>
    <w:rsid w:val="00133963"/>
    <w:rsid w:val="001348B9"/>
    <w:rsid w:val="00135784"/>
    <w:rsid w:val="00135B24"/>
    <w:rsid w:val="00135BCB"/>
    <w:rsid w:val="00135F14"/>
    <w:rsid w:val="00142766"/>
    <w:rsid w:val="0014317A"/>
    <w:rsid w:val="00143530"/>
    <w:rsid w:val="00144FC3"/>
    <w:rsid w:val="00146586"/>
    <w:rsid w:val="00146BF7"/>
    <w:rsid w:val="00147381"/>
    <w:rsid w:val="00147AD4"/>
    <w:rsid w:val="00150111"/>
    <w:rsid w:val="00150442"/>
    <w:rsid w:val="00151A6D"/>
    <w:rsid w:val="001528BA"/>
    <w:rsid w:val="00152EA9"/>
    <w:rsid w:val="00153970"/>
    <w:rsid w:val="001601F6"/>
    <w:rsid w:val="00160271"/>
    <w:rsid w:val="0016498E"/>
    <w:rsid w:val="00165831"/>
    <w:rsid w:val="00165E28"/>
    <w:rsid w:val="00165F6E"/>
    <w:rsid w:val="00166A35"/>
    <w:rsid w:val="00166EC7"/>
    <w:rsid w:val="001716BB"/>
    <w:rsid w:val="00172047"/>
    <w:rsid w:val="00174C57"/>
    <w:rsid w:val="00174DF5"/>
    <w:rsid w:val="00175683"/>
    <w:rsid w:val="00177594"/>
    <w:rsid w:val="00180639"/>
    <w:rsid w:val="00181C06"/>
    <w:rsid w:val="00182120"/>
    <w:rsid w:val="001837AE"/>
    <w:rsid w:val="0018386A"/>
    <w:rsid w:val="0018556C"/>
    <w:rsid w:val="0018622C"/>
    <w:rsid w:val="00187AEF"/>
    <w:rsid w:val="00187AF5"/>
    <w:rsid w:val="0019027F"/>
    <w:rsid w:val="00191C43"/>
    <w:rsid w:val="00192EA6"/>
    <w:rsid w:val="00193107"/>
    <w:rsid w:val="00193D4A"/>
    <w:rsid w:val="00194C82"/>
    <w:rsid w:val="00194D24"/>
    <w:rsid w:val="00195423"/>
    <w:rsid w:val="001973AA"/>
    <w:rsid w:val="001A01B5"/>
    <w:rsid w:val="001A03AD"/>
    <w:rsid w:val="001A0D17"/>
    <w:rsid w:val="001A7658"/>
    <w:rsid w:val="001B0600"/>
    <w:rsid w:val="001B0B30"/>
    <w:rsid w:val="001B106E"/>
    <w:rsid w:val="001B35EC"/>
    <w:rsid w:val="001C38DD"/>
    <w:rsid w:val="001C3AAF"/>
    <w:rsid w:val="001C4B31"/>
    <w:rsid w:val="001C5A1A"/>
    <w:rsid w:val="001C7A65"/>
    <w:rsid w:val="001D011E"/>
    <w:rsid w:val="001D0202"/>
    <w:rsid w:val="001D14FC"/>
    <w:rsid w:val="001D356D"/>
    <w:rsid w:val="001D5F44"/>
    <w:rsid w:val="001D6755"/>
    <w:rsid w:val="001E0750"/>
    <w:rsid w:val="001E1D1B"/>
    <w:rsid w:val="001E374F"/>
    <w:rsid w:val="001E444D"/>
    <w:rsid w:val="001E4FEC"/>
    <w:rsid w:val="001E51BA"/>
    <w:rsid w:val="001E6F6A"/>
    <w:rsid w:val="001F036C"/>
    <w:rsid w:val="001F1659"/>
    <w:rsid w:val="001F2923"/>
    <w:rsid w:val="0020192C"/>
    <w:rsid w:val="00204F96"/>
    <w:rsid w:val="00205BA4"/>
    <w:rsid w:val="00205F0D"/>
    <w:rsid w:val="00206D16"/>
    <w:rsid w:val="002075AF"/>
    <w:rsid w:val="00211024"/>
    <w:rsid w:val="00213EDF"/>
    <w:rsid w:val="00215400"/>
    <w:rsid w:val="00215D1F"/>
    <w:rsid w:val="0021709B"/>
    <w:rsid w:val="00221156"/>
    <w:rsid w:val="002233BD"/>
    <w:rsid w:val="00223A00"/>
    <w:rsid w:val="00224B55"/>
    <w:rsid w:val="00225F43"/>
    <w:rsid w:val="002273D0"/>
    <w:rsid w:val="00227589"/>
    <w:rsid w:val="00227DCF"/>
    <w:rsid w:val="002327F1"/>
    <w:rsid w:val="0023363F"/>
    <w:rsid w:val="00233D59"/>
    <w:rsid w:val="00234390"/>
    <w:rsid w:val="00234CA8"/>
    <w:rsid w:val="00235810"/>
    <w:rsid w:val="0024001E"/>
    <w:rsid w:val="00242203"/>
    <w:rsid w:val="002464A6"/>
    <w:rsid w:val="00246DCC"/>
    <w:rsid w:val="00246F50"/>
    <w:rsid w:val="00247268"/>
    <w:rsid w:val="0025075D"/>
    <w:rsid w:val="002508C0"/>
    <w:rsid w:val="002509D1"/>
    <w:rsid w:val="00251E21"/>
    <w:rsid w:val="00252548"/>
    <w:rsid w:val="00254B71"/>
    <w:rsid w:val="002579CD"/>
    <w:rsid w:val="002623EC"/>
    <w:rsid w:val="002652C6"/>
    <w:rsid w:val="00265965"/>
    <w:rsid w:val="0026671E"/>
    <w:rsid w:val="00267CD7"/>
    <w:rsid w:val="0027089D"/>
    <w:rsid w:val="002713B6"/>
    <w:rsid w:val="00271A2E"/>
    <w:rsid w:val="00273486"/>
    <w:rsid w:val="002762BA"/>
    <w:rsid w:val="002769DB"/>
    <w:rsid w:val="0027730D"/>
    <w:rsid w:val="00280046"/>
    <w:rsid w:val="00280591"/>
    <w:rsid w:val="00282315"/>
    <w:rsid w:val="00282EF7"/>
    <w:rsid w:val="0028313B"/>
    <w:rsid w:val="0028467B"/>
    <w:rsid w:val="0029304C"/>
    <w:rsid w:val="00293AE0"/>
    <w:rsid w:val="002940F3"/>
    <w:rsid w:val="00294D6F"/>
    <w:rsid w:val="00297397"/>
    <w:rsid w:val="002A3698"/>
    <w:rsid w:val="002A4871"/>
    <w:rsid w:val="002A7240"/>
    <w:rsid w:val="002A77E9"/>
    <w:rsid w:val="002A79A5"/>
    <w:rsid w:val="002B0245"/>
    <w:rsid w:val="002B1F13"/>
    <w:rsid w:val="002B28E5"/>
    <w:rsid w:val="002B2B8A"/>
    <w:rsid w:val="002B3E68"/>
    <w:rsid w:val="002B41A6"/>
    <w:rsid w:val="002B7056"/>
    <w:rsid w:val="002B7B8C"/>
    <w:rsid w:val="002C0430"/>
    <w:rsid w:val="002C2350"/>
    <w:rsid w:val="002C2EE4"/>
    <w:rsid w:val="002C31A4"/>
    <w:rsid w:val="002C5F6A"/>
    <w:rsid w:val="002C6F52"/>
    <w:rsid w:val="002C7C37"/>
    <w:rsid w:val="002D3684"/>
    <w:rsid w:val="002D400D"/>
    <w:rsid w:val="002D68A4"/>
    <w:rsid w:val="002D68E5"/>
    <w:rsid w:val="002D6D09"/>
    <w:rsid w:val="002E0A07"/>
    <w:rsid w:val="002E0F39"/>
    <w:rsid w:val="002E1C04"/>
    <w:rsid w:val="002E2497"/>
    <w:rsid w:val="002E4A64"/>
    <w:rsid w:val="002E5F9F"/>
    <w:rsid w:val="002E62D6"/>
    <w:rsid w:val="002E6528"/>
    <w:rsid w:val="002E748C"/>
    <w:rsid w:val="002E7667"/>
    <w:rsid w:val="002E7893"/>
    <w:rsid w:val="002F0BB7"/>
    <w:rsid w:val="002F17AE"/>
    <w:rsid w:val="002F194F"/>
    <w:rsid w:val="002F3E08"/>
    <w:rsid w:val="002F55D3"/>
    <w:rsid w:val="002F69FC"/>
    <w:rsid w:val="002F786F"/>
    <w:rsid w:val="003006DE"/>
    <w:rsid w:val="00301A21"/>
    <w:rsid w:val="00302759"/>
    <w:rsid w:val="003040A6"/>
    <w:rsid w:val="00306125"/>
    <w:rsid w:val="00310739"/>
    <w:rsid w:val="00310E04"/>
    <w:rsid w:val="00311736"/>
    <w:rsid w:val="00313C61"/>
    <w:rsid w:val="00314DE4"/>
    <w:rsid w:val="003150D9"/>
    <w:rsid w:val="003150DB"/>
    <w:rsid w:val="00317BBF"/>
    <w:rsid w:val="003208FA"/>
    <w:rsid w:val="00320AC7"/>
    <w:rsid w:val="003212A7"/>
    <w:rsid w:val="00321BB4"/>
    <w:rsid w:val="00323433"/>
    <w:rsid w:val="00323856"/>
    <w:rsid w:val="00323B43"/>
    <w:rsid w:val="00324828"/>
    <w:rsid w:val="003253E2"/>
    <w:rsid w:val="00326E03"/>
    <w:rsid w:val="00326EB6"/>
    <w:rsid w:val="00327B5C"/>
    <w:rsid w:val="00330657"/>
    <w:rsid w:val="003307B8"/>
    <w:rsid w:val="00330B16"/>
    <w:rsid w:val="00330F91"/>
    <w:rsid w:val="003315B8"/>
    <w:rsid w:val="00332D61"/>
    <w:rsid w:val="00333A97"/>
    <w:rsid w:val="0033489C"/>
    <w:rsid w:val="00335718"/>
    <w:rsid w:val="0033594A"/>
    <w:rsid w:val="003359DB"/>
    <w:rsid w:val="00335FED"/>
    <w:rsid w:val="00336B17"/>
    <w:rsid w:val="00336E95"/>
    <w:rsid w:val="00337B0E"/>
    <w:rsid w:val="00337B47"/>
    <w:rsid w:val="00337BF6"/>
    <w:rsid w:val="00337DAB"/>
    <w:rsid w:val="00341345"/>
    <w:rsid w:val="0034208D"/>
    <w:rsid w:val="003452FE"/>
    <w:rsid w:val="0034567A"/>
    <w:rsid w:val="00345875"/>
    <w:rsid w:val="0035088D"/>
    <w:rsid w:val="003511C5"/>
    <w:rsid w:val="00352FB0"/>
    <w:rsid w:val="00354ADC"/>
    <w:rsid w:val="00354C93"/>
    <w:rsid w:val="00360AA3"/>
    <w:rsid w:val="0036129A"/>
    <w:rsid w:val="00361C6B"/>
    <w:rsid w:val="00361E4C"/>
    <w:rsid w:val="003624BE"/>
    <w:rsid w:val="0036327B"/>
    <w:rsid w:val="00363D57"/>
    <w:rsid w:val="0036768E"/>
    <w:rsid w:val="00367A05"/>
    <w:rsid w:val="00370EC3"/>
    <w:rsid w:val="00371394"/>
    <w:rsid w:val="003715BF"/>
    <w:rsid w:val="0037244E"/>
    <w:rsid w:val="0037357A"/>
    <w:rsid w:val="00373ABA"/>
    <w:rsid w:val="00374FC2"/>
    <w:rsid w:val="00377E8B"/>
    <w:rsid w:val="00380B6A"/>
    <w:rsid w:val="003825C6"/>
    <w:rsid w:val="003842E1"/>
    <w:rsid w:val="003844FD"/>
    <w:rsid w:val="00385485"/>
    <w:rsid w:val="0038628F"/>
    <w:rsid w:val="003871E7"/>
    <w:rsid w:val="00393EA8"/>
    <w:rsid w:val="0039402E"/>
    <w:rsid w:val="00394111"/>
    <w:rsid w:val="003954C7"/>
    <w:rsid w:val="003A0BA1"/>
    <w:rsid w:val="003A1AC0"/>
    <w:rsid w:val="003A2ECA"/>
    <w:rsid w:val="003A3CA4"/>
    <w:rsid w:val="003A5716"/>
    <w:rsid w:val="003A5DBE"/>
    <w:rsid w:val="003A5E5D"/>
    <w:rsid w:val="003A6CCC"/>
    <w:rsid w:val="003B57F6"/>
    <w:rsid w:val="003B5846"/>
    <w:rsid w:val="003B6916"/>
    <w:rsid w:val="003B736B"/>
    <w:rsid w:val="003B73A9"/>
    <w:rsid w:val="003C0A08"/>
    <w:rsid w:val="003C2B6C"/>
    <w:rsid w:val="003C32AE"/>
    <w:rsid w:val="003C3542"/>
    <w:rsid w:val="003C3E93"/>
    <w:rsid w:val="003C43C9"/>
    <w:rsid w:val="003C594A"/>
    <w:rsid w:val="003C5CCB"/>
    <w:rsid w:val="003C61F5"/>
    <w:rsid w:val="003C691D"/>
    <w:rsid w:val="003C7257"/>
    <w:rsid w:val="003C756A"/>
    <w:rsid w:val="003C7670"/>
    <w:rsid w:val="003D0359"/>
    <w:rsid w:val="003D2723"/>
    <w:rsid w:val="003D2D4A"/>
    <w:rsid w:val="003D37D8"/>
    <w:rsid w:val="003D4C8A"/>
    <w:rsid w:val="003D7283"/>
    <w:rsid w:val="003D769F"/>
    <w:rsid w:val="003D7DA0"/>
    <w:rsid w:val="003E0388"/>
    <w:rsid w:val="003E0695"/>
    <w:rsid w:val="003E2F76"/>
    <w:rsid w:val="003E435C"/>
    <w:rsid w:val="003E4B75"/>
    <w:rsid w:val="003E5D3E"/>
    <w:rsid w:val="003E69E4"/>
    <w:rsid w:val="003E7AFC"/>
    <w:rsid w:val="003F0133"/>
    <w:rsid w:val="003F0ADC"/>
    <w:rsid w:val="003F29F3"/>
    <w:rsid w:val="003F3BA8"/>
    <w:rsid w:val="003F7682"/>
    <w:rsid w:val="004004A1"/>
    <w:rsid w:val="004023B6"/>
    <w:rsid w:val="004035D2"/>
    <w:rsid w:val="00403EBF"/>
    <w:rsid w:val="00403FB5"/>
    <w:rsid w:val="00404590"/>
    <w:rsid w:val="00404693"/>
    <w:rsid w:val="004049A7"/>
    <w:rsid w:val="00404D8F"/>
    <w:rsid w:val="0040553E"/>
    <w:rsid w:val="00406716"/>
    <w:rsid w:val="0040799B"/>
    <w:rsid w:val="004107A0"/>
    <w:rsid w:val="00411F64"/>
    <w:rsid w:val="00413037"/>
    <w:rsid w:val="00413144"/>
    <w:rsid w:val="004137FA"/>
    <w:rsid w:val="00414B98"/>
    <w:rsid w:val="004158F0"/>
    <w:rsid w:val="0041598A"/>
    <w:rsid w:val="004175E4"/>
    <w:rsid w:val="00420E99"/>
    <w:rsid w:val="004221B6"/>
    <w:rsid w:val="00422509"/>
    <w:rsid w:val="00424FEB"/>
    <w:rsid w:val="004251D2"/>
    <w:rsid w:val="00425AD6"/>
    <w:rsid w:val="00425B8A"/>
    <w:rsid w:val="00426133"/>
    <w:rsid w:val="004264C1"/>
    <w:rsid w:val="00432737"/>
    <w:rsid w:val="00434C31"/>
    <w:rsid w:val="004351E1"/>
    <w:rsid w:val="004358AB"/>
    <w:rsid w:val="00435AA3"/>
    <w:rsid w:val="00437162"/>
    <w:rsid w:val="00441838"/>
    <w:rsid w:val="00442CA9"/>
    <w:rsid w:val="00443135"/>
    <w:rsid w:val="0044319A"/>
    <w:rsid w:val="0044332A"/>
    <w:rsid w:val="00443672"/>
    <w:rsid w:val="00444101"/>
    <w:rsid w:val="00444D6C"/>
    <w:rsid w:val="00445D6A"/>
    <w:rsid w:val="00445DD6"/>
    <w:rsid w:val="00447F81"/>
    <w:rsid w:val="00452629"/>
    <w:rsid w:val="00452F49"/>
    <w:rsid w:val="00460F6C"/>
    <w:rsid w:val="00461985"/>
    <w:rsid w:val="00462012"/>
    <w:rsid w:val="00462148"/>
    <w:rsid w:val="004627C3"/>
    <w:rsid w:val="00464142"/>
    <w:rsid w:val="00464E31"/>
    <w:rsid w:val="004650F7"/>
    <w:rsid w:val="0046537C"/>
    <w:rsid w:val="00465775"/>
    <w:rsid w:val="004673CB"/>
    <w:rsid w:val="004673EB"/>
    <w:rsid w:val="00467497"/>
    <w:rsid w:val="0047111F"/>
    <w:rsid w:val="00471197"/>
    <w:rsid w:val="00473A08"/>
    <w:rsid w:val="00476BD1"/>
    <w:rsid w:val="00477213"/>
    <w:rsid w:val="00481261"/>
    <w:rsid w:val="00482889"/>
    <w:rsid w:val="004835F3"/>
    <w:rsid w:val="00483FFB"/>
    <w:rsid w:val="00490551"/>
    <w:rsid w:val="00493218"/>
    <w:rsid w:val="0049589D"/>
    <w:rsid w:val="00495E23"/>
    <w:rsid w:val="004977A8"/>
    <w:rsid w:val="004A39BD"/>
    <w:rsid w:val="004A42B5"/>
    <w:rsid w:val="004A5855"/>
    <w:rsid w:val="004A6120"/>
    <w:rsid w:val="004A6B38"/>
    <w:rsid w:val="004A6DFD"/>
    <w:rsid w:val="004A7152"/>
    <w:rsid w:val="004A7B1C"/>
    <w:rsid w:val="004B1BB1"/>
    <w:rsid w:val="004B21E2"/>
    <w:rsid w:val="004B3598"/>
    <w:rsid w:val="004B437C"/>
    <w:rsid w:val="004B4DDC"/>
    <w:rsid w:val="004B56C9"/>
    <w:rsid w:val="004B5B4C"/>
    <w:rsid w:val="004B5D95"/>
    <w:rsid w:val="004C1257"/>
    <w:rsid w:val="004C144E"/>
    <w:rsid w:val="004C219D"/>
    <w:rsid w:val="004C35DF"/>
    <w:rsid w:val="004C4DD0"/>
    <w:rsid w:val="004C5678"/>
    <w:rsid w:val="004D3D4D"/>
    <w:rsid w:val="004D3EC5"/>
    <w:rsid w:val="004D507E"/>
    <w:rsid w:val="004D59BF"/>
    <w:rsid w:val="004D5DF0"/>
    <w:rsid w:val="004D5E9D"/>
    <w:rsid w:val="004D6709"/>
    <w:rsid w:val="004D773B"/>
    <w:rsid w:val="004D7F06"/>
    <w:rsid w:val="004E02F4"/>
    <w:rsid w:val="004E0748"/>
    <w:rsid w:val="004E112E"/>
    <w:rsid w:val="004E1B89"/>
    <w:rsid w:val="004E26B5"/>
    <w:rsid w:val="004E2F58"/>
    <w:rsid w:val="004E3526"/>
    <w:rsid w:val="004E4111"/>
    <w:rsid w:val="004E761C"/>
    <w:rsid w:val="004E796E"/>
    <w:rsid w:val="004E7E10"/>
    <w:rsid w:val="004F0AC4"/>
    <w:rsid w:val="004F1897"/>
    <w:rsid w:val="004F2356"/>
    <w:rsid w:val="004F2C31"/>
    <w:rsid w:val="004F3C5F"/>
    <w:rsid w:val="004F5129"/>
    <w:rsid w:val="004F5180"/>
    <w:rsid w:val="004F6817"/>
    <w:rsid w:val="004F7396"/>
    <w:rsid w:val="004F7AF0"/>
    <w:rsid w:val="004F7FFB"/>
    <w:rsid w:val="005004DE"/>
    <w:rsid w:val="00501B1A"/>
    <w:rsid w:val="00505454"/>
    <w:rsid w:val="00511C72"/>
    <w:rsid w:val="00511C75"/>
    <w:rsid w:val="005124AC"/>
    <w:rsid w:val="005129F8"/>
    <w:rsid w:val="00516736"/>
    <w:rsid w:val="00517E16"/>
    <w:rsid w:val="005216EE"/>
    <w:rsid w:val="00521FD5"/>
    <w:rsid w:val="005224D9"/>
    <w:rsid w:val="005232CF"/>
    <w:rsid w:val="00525213"/>
    <w:rsid w:val="00530B9C"/>
    <w:rsid w:val="0053158D"/>
    <w:rsid w:val="0053388B"/>
    <w:rsid w:val="005348E3"/>
    <w:rsid w:val="00536C7F"/>
    <w:rsid w:val="00537C34"/>
    <w:rsid w:val="00541988"/>
    <w:rsid w:val="00544084"/>
    <w:rsid w:val="005447BD"/>
    <w:rsid w:val="00545ACE"/>
    <w:rsid w:val="005469C0"/>
    <w:rsid w:val="0054700E"/>
    <w:rsid w:val="00547CB4"/>
    <w:rsid w:val="00547F06"/>
    <w:rsid w:val="00552E64"/>
    <w:rsid w:val="0055452D"/>
    <w:rsid w:val="00554A23"/>
    <w:rsid w:val="0055533F"/>
    <w:rsid w:val="00556BDC"/>
    <w:rsid w:val="0055785C"/>
    <w:rsid w:val="00557B11"/>
    <w:rsid w:val="0056281C"/>
    <w:rsid w:val="00562C79"/>
    <w:rsid w:val="0056483D"/>
    <w:rsid w:val="00565B53"/>
    <w:rsid w:val="005669CF"/>
    <w:rsid w:val="00570897"/>
    <w:rsid w:val="0057092F"/>
    <w:rsid w:val="005712FA"/>
    <w:rsid w:val="0057247F"/>
    <w:rsid w:val="00573283"/>
    <w:rsid w:val="00573ADB"/>
    <w:rsid w:val="00574C0B"/>
    <w:rsid w:val="00575AE4"/>
    <w:rsid w:val="005777D9"/>
    <w:rsid w:val="00580B9D"/>
    <w:rsid w:val="00581372"/>
    <w:rsid w:val="005819E2"/>
    <w:rsid w:val="00582CAA"/>
    <w:rsid w:val="00582CB2"/>
    <w:rsid w:val="00582D1E"/>
    <w:rsid w:val="00583867"/>
    <w:rsid w:val="005847DD"/>
    <w:rsid w:val="00584DB8"/>
    <w:rsid w:val="0058534D"/>
    <w:rsid w:val="0058571B"/>
    <w:rsid w:val="005863BA"/>
    <w:rsid w:val="005865DE"/>
    <w:rsid w:val="00586690"/>
    <w:rsid w:val="00591C44"/>
    <w:rsid w:val="0059203B"/>
    <w:rsid w:val="00594D41"/>
    <w:rsid w:val="00594E71"/>
    <w:rsid w:val="00596F80"/>
    <w:rsid w:val="005972E2"/>
    <w:rsid w:val="005A1B6E"/>
    <w:rsid w:val="005A2393"/>
    <w:rsid w:val="005A23D2"/>
    <w:rsid w:val="005A3D83"/>
    <w:rsid w:val="005A41A4"/>
    <w:rsid w:val="005A4662"/>
    <w:rsid w:val="005A5EEE"/>
    <w:rsid w:val="005A7114"/>
    <w:rsid w:val="005B0D35"/>
    <w:rsid w:val="005B24C2"/>
    <w:rsid w:val="005B4D48"/>
    <w:rsid w:val="005B52D7"/>
    <w:rsid w:val="005B74FB"/>
    <w:rsid w:val="005C111B"/>
    <w:rsid w:val="005C1695"/>
    <w:rsid w:val="005C2089"/>
    <w:rsid w:val="005C37A1"/>
    <w:rsid w:val="005C4A69"/>
    <w:rsid w:val="005C5DD3"/>
    <w:rsid w:val="005C7710"/>
    <w:rsid w:val="005D1FF0"/>
    <w:rsid w:val="005D305C"/>
    <w:rsid w:val="005D32D4"/>
    <w:rsid w:val="005D3825"/>
    <w:rsid w:val="005D4A1F"/>
    <w:rsid w:val="005D5B48"/>
    <w:rsid w:val="005D6FBC"/>
    <w:rsid w:val="005D77B8"/>
    <w:rsid w:val="005D7C37"/>
    <w:rsid w:val="005E2A60"/>
    <w:rsid w:val="005E2EA6"/>
    <w:rsid w:val="005E3630"/>
    <w:rsid w:val="005E49E2"/>
    <w:rsid w:val="005F05F9"/>
    <w:rsid w:val="005F0F8A"/>
    <w:rsid w:val="005F22FF"/>
    <w:rsid w:val="005F2FDE"/>
    <w:rsid w:val="005F3AE0"/>
    <w:rsid w:val="005F4563"/>
    <w:rsid w:val="005F464F"/>
    <w:rsid w:val="005F47E2"/>
    <w:rsid w:val="005F535F"/>
    <w:rsid w:val="005F6B26"/>
    <w:rsid w:val="00600B0D"/>
    <w:rsid w:val="0060130A"/>
    <w:rsid w:val="00605A23"/>
    <w:rsid w:val="00606180"/>
    <w:rsid w:val="00606AB2"/>
    <w:rsid w:val="0061033A"/>
    <w:rsid w:val="00610BFC"/>
    <w:rsid w:val="006113F3"/>
    <w:rsid w:val="00611B91"/>
    <w:rsid w:val="00611D43"/>
    <w:rsid w:val="00611F37"/>
    <w:rsid w:val="006130D1"/>
    <w:rsid w:val="00613292"/>
    <w:rsid w:val="00614862"/>
    <w:rsid w:val="006205A4"/>
    <w:rsid w:val="00622DC7"/>
    <w:rsid w:val="00622FFB"/>
    <w:rsid w:val="00623D03"/>
    <w:rsid w:val="006244E4"/>
    <w:rsid w:val="006257C4"/>
    <w:rsid w:val="00626776"/>
    <w:rsid w:val="00627E28"/>
    <w:rsid w:val="00630410"/>
    <w:rsid w:val="006317AB"/>
    <w:rsid w:val="00634495"/>
    <w:rsid w:val="00634A99"/>
    <w:rsid w:val="00635A3E"/>
    <w:rsid w:val="00637E7B"/>
    <w:rsid w:val="00641A4B"/>
    <w:rsid w:val="00642A36"/>
    <w:rsid w:val="00644ADD"/>
    <w:rsid w:val="00645BA3"/>
    <w:rsid w:val="006466FF"/>
    <w:rsid w:val="0064769D"/>
    <w:rsid w:val="006521B6"/>
    <w:rsid w:val="00652890"/>
    <w:rsid w:val="00652C96"/>
    <w:rsid w:val="00653CD3"/>
    <w:rsid w:val="00655CB9"/>
    <w:rsid w:val="00655F6B"/>
    <w:rsid w:val="006565D2"/>
    <w:rsid w:val="00656CA7"/>
    <w:rsid w:val="00657DDC"/>
    <w:rsid w:val="00660399"/>
    <w:rsid w:val="00661BCF"/>
    <w:rsid w:val="00667806"/>
    <w:rsid w:val="006701C2"/>
    <w:rsid w:val="006701FB"/>
    <w:rsid w:val="006703A4"/>
    <w:rsid w:val="00671FC4"/>
    <w:rsid w:val="0067392C"/>
    <w:rsid w:val="00674742"/>
    <w:rsid w:val="00676D1E"/>
    <w:rsid w:val="00680E05"/>
    <w:rsid w:val="00682993"/>
    <w:rsid w:val="00682B8F"/>
    <w:rsid w:val="00683390"/>
    <w:rsid w:val="006856BE"/>
    <w:rsid w:val="00685B99"/>
    <w:rsid w:val="00686872"/>
    <w:rsid w:val="0069035F"/>
    <w:rsid w:val="00690CCD"/>
    <w:rsid w:val="006914ED"/>
    <w:rsid w:val="006919AC"/>
    <w:rsid w:val="00692A28"/>
    <w:rsid w:val="00693A0B"/>
    <w:rsid w:val="00693AF8"/>
    <w:rsid w:val="00693C80"/>
    <w:rsid w:val="006970F3"/>
    <w:rsid w:val="00697C0B"/>
    <w:rsid w:val="006A065E"/>
    <w:rsid w:val="006A09E4"/>
    <w:rsid w:val="006A1B1F"/>
    <w:rsid w:val="006A20CD"/>
    <w:rsid w:val="006A582E"/>
    <w:rsid w:val="006A5AFD"/>
    <w:rsid w:val="006A61CC"/>
    <w:rsid w:val="006A68E7"/>
    <w:rsid w:val="006A6F8A"/>
    <w:rsid w:val="006A726D"/>
    <w:rsid w:val="006B0964"/>
    <w:rsid w:val="006B0A8F"/>
    <w:rsid w:val="006B24E1"/>
    <w:rsid w:val="006B33DE"/>
    <w:rsid w:val="006B3560"/>
    <w:rsid w:val="006B3828"/>
    <w:rsid w:val="006B3F0B"/>
    <w:rsid w:val="006B4886"/>
    <w:rsid w:val="006B4A3C"/>
    <w:rsid w:val="006B50E0"/>
    <w:rsid w:val="006B5195"/>
    <w:rsid w:val="006C04B6"/>
    <w:rsid w:val="006C1F11"/>
    <w:rsid w:val="006C265E"/>
    <w:rsid w:val="006C3615"/>
    <w:rsid w:val="006C4556"/>
    <w:rsid w:val="006C466B"/>
    <w:rsid w:val="006C4E8C"/>
    <w:rsid w:val="006C5F51"/>
    <w:rsid w:val="006C5F6B"/>
    <w:rsid w:val="006C633D"/>
    <w:rsid w:val="006C7819"/>
    <w:rsid w:val="006D0E1E"/>
    <w:rsid w:val="006D1B4A"/>
    <w:rsid w:val="006D25C2"/>
    <w:rsid w:val="006D293D"/>
    <w:rsid w:val="006D45B1"/>
    <w:rsid w:val="006D683A"/>
    <w:rsid w:val="006D7716"/>
    <w:rsid w:val="006E184C"/>
    <w:rsid w:val="006E1A12"/>
    <w:rsid w:val="006E29D0"/>
    <w:rsid w:val="006E4143"/>
    <w:rsid w:val="006E5E05"/>
    <w:rsid w:val="006E65D3"/>
    <w:rsid w:val="006E68A1"/>
    <w:rsid w:val="006E7D38"/>
    <w:rsid w:val="006F0BDE"/>
    <w:rsid w:val="006F40CD"/>
    <w:rsid w:val="006F52C3"/>
    <w:rsid w:val="006F7859"/>
    <w:rsid w:val="006F7EA6"/>
    <w:rsid w:val="0070031D"/>
    <w:rsid w:val="0070043B"/>
    <w:rsid w:val="007015B7"/>
    <w:rsid w:val="007040E8"/>
    <w:rsid w:val="00705957"/>
    <w:rsid w:val="00706873"/>
    <w:rsid w:val="00706994"/>
    <w:rsid w:val="0070781E"/>
    <w:rsid w:val="00707D7B"/>
    <w:rsid w:val="0071099C"/>
    <w:rsid w:val="00711AEF"/>
    <w:rsid w:val="007124D1"/>
    <w:rsid w:val="007167CB"/>
    <w:rsid w:val="00716C71"/>
    <w:rsid w:val="007172CD"/>
    <w:rsid w:val="0072292D"/>
    <w:rsid w:val="00723496"/>
    <w:rsid w:val="00726DF9"/>
    <w:rsid w:val="00726FD7"/>
    <w:rsid w:val="00730E74"/>
    <w:rsid w:val="00731458"/>
    <w:rsid w:val="007320EE"/>
    <w:rsid w:val="0073366F"/>
    <w:rsid w:val="0073438A"/>
    <w:rsid w:val="007355FF"/>
    <w:rsid w:val="007364F3"/>
    <w:rsid w:val="007368A3"/>
    <w:rsid w:val="00737863"/>
    <w:rsid w:val="00740D96"/>
    <w:rsid w:val="00741243"/>
    <w:rsid w:val="00741CDE"/>
    <w:rsid w:val="007424FC"/>
    <w:rsid w:val="00744593"/>
    <w:rsid w:val="007447C3"/>
    <w:rsid w:val="007457B9"/>
    <w:rsid w:val="00746819"/>
    <w:rsid w:val="00746A2F"/>
    <w:rsid w:val="00750E2D"/>
    <w:rsid w:val="00752776"/>
    <w:rsid w:val="00752DE0"/>
    <w:rsid w:val="007533D9"/>
    <w:rsid w:val="007537DB"/>
    <w:rsid w:val="0075618B"/>
    <w:rsid w:val="007575AA"/>
    <w:rsid w:val="007610C6"/>
    <w:rsid w:val="00762BA9"/>
    <w:rsid w:val="007640EC"/>
    <w:rsid w:val="00764398"/>
    <w:rsid w:val="007654F1"/>
    <w:rsid w:val="007658D8"/>
    <w:rsid w:val="00766CA1"/>
    <w:rsid w:val="007677D2"/>
    <w:rsid w:val="00770B39"/>
    <w:rsid w:val="00771B6D"/>
    <w:rsid w:val="00771C19"/>
    <w:rsid w:val="00771DFD"/>
    <w:rsid w:val="00772B34"/>
    <w:rsid w:val="007745B6"/>
    <w:rsid w:val="007775E0"/>
    <w:rsid w:val="007801E8"/>
    <w:rsid w:val="0078088B"/>
    <w:rsid w:val="00783C38"/>
    <w:rsid w:val="007840AA"/>
    <w:rsid w:val="007858FB"/>
    <w:rsid w:val="0078677F"/>
    <w:rsid w:val="007920B3"/>
    <w:rsid w:val="007922AA"/>
    <w:rsid w:val="00792309"/>
    <w:rsid w:val="007934A2"/>
    <w:rsid w:val="0079391F"/>
    <w:rsid w:val="00793EE9"/>
    <w:rsid w:val="007940D0"/>
    <w:rsid w:val="007948F5"/>
    <w:rsid w:val="00794FE0"/>
    <w:rsid w:val="00797F11"/>
    <w:rsid w:val="007A14D1"/>
    <w:rsid w:val="007A25CF"/>
    <w:rsid w:val="007A2FAD"/>
    <w:rsid w:val="007A5113"/>
    <w:rsid w:val="007A5B83"/>
    <w:rsid w:val="007A63CF"/>
    <w:rsid w:val="007A6CAB"/>
    <w:rsid w:val="007A708C"/>
    <w:rsid w:val="007A758F"/>
    <w:rsid w:val="007B0A4D"/>
    <w:rsid w:val="007B375C"/>
    <w:rsid w:val="007B3F70"/>
    <w:rsid w:val="007B5EAC"/>
    <w:rsid w:val="007B70BC"/>
    <w:rsid w:val="007C058F"/>
    <w:rsid w:val="007C2DC8"/>
    <w:rsid w:val="007C49A9"/>
    <w:rsid w:val="007C6D57"/>
    <w:rsid w:val="007C7900"/>
    <w:rsid w:val="007D24CD"/>
    <w:rsid w:val="007D4012"/>
    <w:rsid w:val="007D4C2A"/>
    <w:rsid w:val="007D724F"/>
    <w:rsid w:val="007E242E"/>
    <w:rsid w:val="007E2901"/>
    <w:rsid w:val="007E33CD"/>
    <w:rsid w:val="007E4E09"/>
    <w:rsid w:val="007E5DCD"/>
    <w:rsid w:val="007E6176"/>
    <w:rsid w:val="007E6687"/>
    <w:rsid w:val="007F060B"/>
    <w:rsid w:val="007F14AF"/>
    <w:rsid w:val="007F2EC2"/>
    <w:rsid w:val="007F308A"/>
    <w:rsid w:val="008005BB"/>
    <w:rsid w:val="00801E4C"/>
    <w:rsid w:val="008057B5"/>
    <w:rsid w:val="00805EA2"/>
    <w:rsid w:val="00806403"/>
    <w:rsid w:val="00812CAA"/>
    <w:rsid w:val="00813E83"/>
    <w:rsid w:val="00816FA0"/>
    <w:rsid w:val="0081730A"/>
    <w:rsid w:val="00821ED8"/>
    <w:rsid w:val="008233C1"/>
    <w:rsid w:val="00823B1F"/>
    <w:rsid w:val="00824087"/>
    <w:rsid w:val="008242B0"/>
    <w:rsid w:val="00824575"/>
    <w:rsid w:val="008264BC"/>
    <w:rsid w:val="0082724E"/>
    <w:rsid w:val="0083005F"/>
    <w:rsid w:val="008302C4"/>
    <w:rsid w:val="00830307"/>
    <w:rsid w:val="00832492"/>
    <w:rsid w:val="00832CE8"/>
    <w:rsid w:val="00833F91"/>
    <w:rsid w:val="00835AB1"/>
    <w:rsid w:val="00835F63"/>
    <w:rsid w:val="0084349B"/>
    <w:rsid w:val="00843D80"/>
    <w:rsid w:val="00844048"/>
    <w:rsid w:val="008447BA"/>
    <w:rsid w:val="008455F9"/>
    <w:rsid w:val="0084660E"/>
    <w:rsid w:val="00846C8A"/>
    <w:rsid w:val="008542D1"/>
    <w:rsid w:val="00861A71"/>
    <w:rsid w:val="00863308"/>
    <w:rsid w:val="00864149"/>
    <w:rsid w:val="008679FF"/>
    <w:rsid w:val="00870E8E"/>
    <w:rsid w:val="00873971"/>
    <w:rsid w:val="00875776"/>
    <w:rsid w:val="00875EE2"/>
    <w:rsid w:val="008764D8"/>
    <w:rsid w:val="008765A5"/>
    <w:rsid w:val="008768BF"/>
    <w:rsid w:val="008775B1"/>
    <w:rsid w:val="008777CF"/>
    <w:rsid w:val="00884C10"/>
    <w:rsid w:val="00884E46"/>
    <w:rsid w:val="00887FAA"/>
    <w:rsid w:val="00891FC3"/>
    <w:rsid w:val="0089315D"/>
    <w:rsid w:val="00893802"/>
    <w:rsid w:val="00894289"/>
    <w:rsid w:val="00894923"/>
    <w:rsid w:val="0089504E"/>
    <w:rsid w:val="008951E8"/>
    <w:rsid w:val="008952EC"/>
    <w:rsid w:val="008953BC"/>
    <w:rsid w:val="00895880"/>
    <w:rsid w:val="00897D7D"/>
    <w:rsid w:val="008A0A5F"/>
    <w:rsid w:val="008A1349"/>
    <w:rsid w:val="008A1527"/>
    <w:rsid w:val="008A2EFF"/>
    <w:rsid w:val="008A3D12"/>
    <w:rsid w:val="008A4804"/>
    <w:rsid w:val="008A65F9"/>
    <w:rsid w:val="008A673F"/>
    <w:rsid w:val="008A6E19"/>
    <w:rsid w:val="008A7003"/>
    <w:rsid w:val="008B0AE3"/>
    <w:rsid w:val="008B0D8F"/>
    <w:rsid w:val="008B171D"/>
    <w:rsid w:val="008B1EEE"/>
    <w:rsid w:val="008B2756"/>
    <w:rsid w:val="008B2A92"/>
    <w:rsid w:val="008B46CA"/>
    <w:rsid w:val="008B6E7E"/>
    <w:rsid w:val="008B7726"/>
    <w:rsid w:val="008C0317"/>
    <w:rsid w:val="008C0755"/>
    <w:rsid w:val="008C0C14"/>
    <w:rsid w:val="008C54A4"/>
    <w:rsid w:val="008C6F28"/>
    <w:rsid w:val="008C7470"/>
    <w:rsid w:val="008D1E10"/>
    <w:rsid w:val="008D4CE2"/>
    <w:rsid w:val="008D6FE0"/>
    <w:rsid w:val="008E0E26"/>
    <w:rsid w:val="008E1FCC"/>
    <w:rsid w:val="008E33D3"/>
    <w:rsid w:val="008E4382"/>
    <w:rsid w:val="008E4722"/>
    <w:rsid w:val="008E4861"/>
    <w:rsid w:val="008E5BD0"/>
    <w:rsid w:val="008E7DEC"/>
    <w:rsid w:val="008F0D62"/>
    <w:rsid w:val="008F13D8"/>
    <w:rsid w:val="008F183F"/>
    <w:rsid w:val="008F2E93"/>
    <w:rsid w:val="008F3EFE"/>
    <w:rsid w:val="008F4232"/>
    <w:rsid w:val="008F4B48"/>
    <w:rsid w:val="008F6378"/>
    <w:rsid w:val="008F6946"/>
    <w:rsid w:val="008F7972"/>
    <w:rsid w:val="009012DB"/>
    <w:rsid w:val="00905B95"/>
    <w:rsid w:val="0090719A"/>
    <w:rsid w:val="009075F4"/>
    <w:rsid w:val="00915336"/>
    <w:rsid w:val="0091622A"/>
    <w:rsid w:val="00916296"/>
    <w:rsid w:val="009165BA"/>
    <w:rsid w:val="009179D1"/>
    <w:rsid w:val="009217B2"/>
    <w:rsid w:val="00922A82"/>
    <w:rsid w:val="00922DD5"/>
    <w:rsid w:val="00925330"/>
    <w:rsid w:val="0093170F"/>
    <w:rsid w:val="009321FD"/>
    <w:rsid w:val="00932249"/>
    <w:rsid w:val="00934296"/>
    <w:rsid w:val="009354BD"/>
    <w:rsid w:val="00936925"/>
    <w:rsid w:val="00937E63"/>
    <w:rsid w:val="009411D3"/>
    <w:rsid w:val="009412B4"/>
    <w:rsid w:val="00941303"/>
    <w:rsid w:val="00942BD0"/>
    <w:rsid w:val="0094379A"/>
    <w:rsid w:val="0094413A"/>
    <w:rsid w:val="00944231"/>
    <w:rsid w:val="0094454C"/>
    <w:rsid w:val="00944937"/>
    <w:rsid w:val="009450CB"/>
    <w:rsid w:val="009467B6"/>
    <w:rsid w:val="0095299E"/>
    <w:rsid w:val="00956263"/>
    <w:rsid w:val="00960E85"/>
    <w:rsid w:val="009632C7"/>
    <w:rsid w:val="009652FF"/>
    <w:rsid w:val="00967F37"/>
    <w:rsid w:val="00972EA8"/>
    <w:rsid w:val="009738EC"/>
    <w:rsid w:val="00975B74"/>
    <w:rsid w:val="00982C39"/>
    <w:rsid w:val="00982F46"/>
    <w:rsid w:val="00984D24"/>
    <w:rsid w:val="00985181"/>
    <w:rsid w:val="0098686A"/>
    <w:rsid w:val="00987277"/>
    <w:rsid w:val="00987B6F"/>
    <w:rsid w:val="00987C42"/>
    <w:rsid w:val="0099225D"/>
    <w:rsid w:val="00995424"/>
    <w:rsid w:val="00995AA9"/>
    <w:rsid w:val="009964A4"/>
    <w:rsid w:val="0099666E"/>
    <w:rsid w:val="009966A5"/>
    <w:rsid w:val="00996700"/>
    <w:rsid w:val="00996756"/>
    <w:rsid w:val="009970B3"/>
    <w:rsid w:val="009A00FE"/>
    <w:rsid w:val="009A041C"/>
    <w:rsid w:val="009A0533"/>
    <w:rsid w:val="009A2663"/>
    <w:rsid w:val="009A6210"/>
    <w:rsid w:val="009A6330"/>
    <w:rsid w:val="009A67B9"/>
    <w:rsid w:val="009A700C"/>
    <w:rsid w:val="009B053D"/>
    <w:rsid w:val="009B05B1"/>
    <w:rsid w:val="009B07BC"/>
    <w:rsid w:val="009B1C3A"/>
    <w:rsid w:val="009B27E2"/>
    <w:rsid w:val="009B2A47"/>
    <w:rsid w:val="009B6736"/>
    <w:rsid w:val="009C0D63"/>
    <w:rsid w:val="009C2506"/>
    <w:rsid w:val="009C38AB"/>
    <w:rsid w:val="009C508D"/>
    <w:rsid w:val="009C69E7"/>
    <w:rsid w:val="009D1F6D"/>
    <w:rsid w:val="009D2CA4"/>
    <w:rsid w:val="009D4712"/>
    <w:rsid w:val="009D4B51"/>
    <w:rsid w:val="009D4D86"/>
    <w:rsid w:val="009D75F9"/>
    <w:rsid w:val="009E0507"/>
    <w:rsid w:val="009E28F0"/>
    <w:rsid w:val="009E3251"/>
    <w:rsid w:val="009E40A4"/>
    <w:rsid w:val="009E4A25"/>
    <w:rsid w:val="009E4EAA"/>
    <w:rsid w:val="009E668D"/>
    <w:rsid w:val="009E776E"/>
    <w:rsid w:val="009F00E5"/>
    <w:rsid w:val="009F0293"/>
    <w:rsid w:val="009F0749"/>
    <w:rsid w:val="009F142C"/>
    <w:rsid w:val="009F1E4A"/>
    <w:rsid w:val="009F21BA"/>
    <w:rsid w:val="009F2229"/>
    <w:rsid w:val="009F2899"/>
    <w:rsid w:val="009F3D4B"/>
    <w:rsid w:val="009F6737"/>
    <w:rsid w:val="00A0106E"/>
    <w:rsid w:val="00A029D4"/>
    <w:rsid w:val="00A04068"/>
    <w:rsid w:val="00A0546B"/>
    <w:rsid w:val="00A059F0"/>
    <w:rsid w:val="00A06A1B"/>
    <w:rsid w:val="00A06B68"/>
    <w:rsid w:val="00A10CA7"/>
    <w:rsid w:val="00A12187"/>
    <w:rsid w:val="00A153EB"/>
    <w:rsid w:val="00A15EE6"/>
    <w:rsid w:val="00A176BF"/>
    <w:rsid w:val="00A222C6"/>
    <w:rsid w:val="00A23837"/>
    <w:rsid w:val="00A23A06"/>
    <w:rsid w:val="00A23FC1"/>
    <w:rsid w:val="00A248EF"/>
    <w:rsid w:val="00A24F91"/>
    <w:rsid w:val="00A27106"/>
    <w:rsid w:val="00A2747E"/>
    <w:rsid w:val="00A27C8C"/>
    <w:rsid w:val="00A30FC7"/>
    <w:rsid w:val="00A31B39"/>
    <w:rsid w:val="00A332B7"/>
    <w:rsid w:val="00A340B7"/>
    <w:rsid w:val="00A3457C"/>
    <w:rsid w:val="00A36512"/>
    <w:rsid w:val="00A36933"/>
    <w:rsid w:val="00A403F2"/>
    <w:rsid w:val="00A407FD"/>
    <w:rsid w:val="00A4200D"/>
    <w:rsid w:val="00A42E49"/>
    <w:rsid w:val="00A43F32"/>
    <w:rsid w:val="00A456C3"/>
    <w:rsid w:val="00A45C15"/>
    <w:rsid w:val="00A471BD"/>
    <w:rsid w:val="00A50119"/>
    <w:rsid w:val="00A51DF3"/>
    <w:rsid w:val="00A53FB2"/>
    <w:rsid w:val="00A5438A"/>
    <w:rsid w:val="00A54545"/>
    <w:rsid w:val="00A54B7B"/>
    <w:rsid w:val="00A5675A"/>
    <w:rsid w:val="00A56AA0"/>
    <w:rsid w:val="00A5713A"/>
    <w:rsid w:val="00A60034"/>
    <w:rsid w:val="00A61EF4"/>
    <w:rsid w:val="00A6206A"/>
    <w:rsid w:val="00A62BAC"/>
    <w:rsid w:val="00A62D67"/>
    <w:rsid w:val="00A63876"/>
    <w:rsid w:val="00A64546"/>
    <w:rsid w:val="00A64692"/>
    <w:rsid w:val="00A65D4A"/>
    <w:rsid w:val="00A66953"/>
    <w:rsid w:val="00A66B5F"/>
    <w:rsid w:val="00A7150E"/>
    <w:rsid w:val="00A729C6"/>
    <w:rsid w:val="00A74551"/>
    <w:rsid w:val="00A74CB4"/>
    <w:rsid w:val="00A76B34"/>
    <w:rsid w:val="00A8022E"/>
    <w:rsid w:val="00A809EC"/>
    <w:rsid w:val="00A80A49"/>
    <w:rsid w:val="00A82692"/>
    <w:rsid w:val="00A82B93"/>
    <w:rsid w:val="00A869D7"/>
    <w:rsid w:val="00A87589"/>
    <w:rsid w:val="00A916C0"/>
    <w:rsid w:val="00A93861"/>
    <w:rsid w:val="00A949A6"/>
    <w:rsid w:val="00A95527"/>
    <w:rsid w:val="00A95DDB"/>
    <w:rsid w:val="00A95EC6"/>
    <w:rsid w:val="00AA0893"/>
    <w:rsid w:val="00AA14B0"/>
    <w:rsid w:val="00AA2940"/>
    <w:rsid w:val="00AA3FB8"/>
    <w:rsid w:val="00AA4105"/>
    <w:rsid w:val="00AA488D"/>
    <w:rsid w:val="00AA585C"/>
    <w:rsid w:val="00AA76D7"/>
    <w:rsid w:val="00AB183C"/>
    <w:rsid w:val="00AB189C"/>
    <w:rsid w:val="00AB528E"/>
    <w:rsid w:val="00AC0FDB"/>
    <w:rsid w:val="00AC1C8D"/>
    <w:rsid w:val="00AC2DAB"/>
    <w:rsid w:val="00AC3582"/>
    <w:rsid w:val="00AC40C1"/>
    <w:rsid w:val="00AC5FEF"/>
    <w:rsid w:val="00AD281C"/>
    <w:rsid w:val="00AD3B53"/>
    <w:rsid w:val="00AD4696"/>
    <w:rsid w:val="00AD688F"/>
    <w:rsid w:val="00AD6D0B"/>
    <w:rsid w:val="00AE0496"/>
    <w:rsid w:val="00AE0A8A"/>
    <w:rsid w:val="00AE22D9"/>
    <w:rsid w:val="00AE3A6C"/>
    <w:rsid w:val="00AE40CC"/>
    <w:rsid w:val="00AF3366"/>
    <w:rsid w:val="00AF3E8C"/>
    <w:rsid w:val="00AF43F3"/>
    <w:rsid w:val="00AF527B"/>
    <w:rsid w:val="00B00AA7"/>
    <w:rsid w:val="00B00BC2"/>
    <w:rsid w:val="00B00C85"/>
    <w:rsid w:val="00B0105F"/>
    <w:rsid w:val="00B02455"/>
    <w:rsid w:val="00B035C9"/>
    <w:rsid w:val="00B04148"/>
    <w:rsid w:val="00B042C5"/>
    <w:rsid w:val="00B05939"/>
    <w:rsid w:val="00B0616F"/>
    <w:rsid w:val="00B0736B"/>
    <w:rsid w:val="00B07DC8"/>
    <w:rsid w:val="00B103C7"/>
    <w:rsid w:val="00B10444"/>
    <w:rsid w:val="00B1384E"/>
    <w:rsid w:val="00B1392B"/>
    <w:rsid w:val="00B1786C"/>
    <w:rsid w:val="00B2043C"/>
    <w:rsid w:val="00B20D70"/>
    <w:rsid w:val="00B21041"/>
    <w:rsid w:val="00B228B8"/>
    <w:rsid w:val="00B2423F"/>
    <w:rsid w:val="00B25F10"/>
    <w:rsid w:val="00B26D96"/>
    <w:rsid w:val="00B26EA3"/>
    <w:rsid w:val="00B30915"/>
    <w:rsid w:val="00B317B6"/>
    <w:rsid w:val="00B32331"/>
    <w:rsid w:val="00B33B1E"/>
    <w:rsid w:val="00B33DB3"/>
    <w:rsid w:val="00B350AC"/>
    <w:rsid w:val="00B35CBF"/>
    <w:rsid w:val="00B35E21"/>
    <w:rsid w:val="00B37601"/>
    <w:rsid w:val="00B4058B"/>
    <w:rsid w:val="00B4434E"/>
    <w:rsid w:val="00B445A7"/>
    <w:rsid w:val="00B445E8"/>
    <w:rsid w:val="00B446DE"/>
    <w:rsid w:val="00B456D8"/>
    <w:rsid w:val="00B46C34"/>
    <w:rsid w:val="00B4729A"/>
    <w:rsid w:val="00B47757"/>
    <w:rsid w:val="00B51924"/>
    <w:rsid w:val="00B51EC6"/>
    <w:rsid w:val="00B541B9"/>
    <w:rsid w:val="00B5555A"/>
    <w:rsid w:val="00B55D1F"/>
    <w:rsid w:val="00B608D1"/>
    <w:rsid w:val="00B6229D"/>
    <w:rsid w:val="00B62406"/>
    <w:rsid w:val="00B625BA"/>
    <w:rsid w:val="00B6486C"/>
    <w:rsid w:val="00B7020D"/>
    <w:rsid w:val="00B721D5"/>
    <w:rsid w:val="00B72CC1"/>
    <w:rsid w:val="00B7465A"/>
    <w:rsid w:val="00B76CDF"/>
    <w:rsid w:val="00B805EA"/>
    <w:rsid w:val="00B8141B"/>
    <w:rsid w:val="00B84840"/>
    <w:rsid w:val="00B84AD7"/>
    <w:rsid w:val="00B8519B"/>
    <w:rsid w:val="00B851A0"/>
    <w:rsid w:val="00B86004"/>
    <w:rsid w:val="00B86130"/>
    <w:rsid w:val="00B870C4"/>
    <w:rsid w:val="00B9319F"/>
    <w:rsid w:val="00B9351D"/>
    <w:rsid w:val="00B939A7"/>
    <w:rsid w:val="00B9512C"/>
    <w:rsid w:val="00B958AE"/>
    <w:rsid w:val="00B97617"/>
    <w:rsid w:val="00BA151F"/>
    <w:rsid w:val="00BA1CA8"/>
    <w:rsid w:val="00BA35C3"/>
    <w:rsid w:val="00BA3E5D"/>
    <w:rsid w:val="00BA4253"/>
    <w:rsid w:val="00BA48A3"/>
    <w:rsid w:val="00BA4D48"/>
    <w:rsid w:val="00BA5CF8"/>
    <w:rsid w:val="00BA6030"/>
    <w:rsid w:val="00BA6BC8"/>
    <w:rsid w:val="00BA7844"/>
    <w:rsid w:val="00BA79E8"/>
    <w:rsid w:val="00BB016C"/>
    <w:rsid w:val="00BB0DC6"/>
    <w:rsid w:val="00BB1BAC"/>
    <w:rsid w:val="00BB4E37"/>
    <w:rsid w:val="00BB7EE9"/>
    <w:rsid w:val="00BC237A"/>
    <w:rsid w:val="00BC24B9"/>
    <w:rsid w:val="00BC3D84"/>
    <w:rsid w:val="00BC72F5"/>
    <w:rsid w:val="00BD085D"/>
    <w:rsid w:val="00BD092A"/>
    <w:rsid w:val="00BD2A62"/>
    <w:rsid w:val="00BD2AB3"/>
    <w:rsid w:val="00BD3F3B"/>
    <w:rsid w:val="00BD4588"/>
    <w:rsid w:val="00BD48D5"/>
    <w:rsid w:val="00BD4DC6"/>
    <w:rsid w:val="00BD507E"/>
    <w:rsid w:val="00BD50E8"/>
    <w:rsid w:val="00BD5CE9"/>
    <w:rsid w:val="00BD5FF7"/>
    <w:rsid w:val="00BD6B0B"/>
    <w:rsid w:val="00BD722F"/>
    <w:rsid w:val="00BD72C2"/>
    <w:rsid w:val="00BD74FF"/>
    <w:rsid w:val="00BD766F"/>
    <w:rsid w:val="00BD7749"/>
    <w:rsid w:val="00BD7C30"/>
    <w:rsid w:val="00BE0A25"/>
    <w:rsid w:val="00BE1455"/>
    <w:rsid w:val="00BE38B0"/>
    <w:rsid w:val="00BE3971"/>
    <w:rsid w:val="00BE54FA"/>
    <w:rsid w:val="00BE5A2F"/>
    <w:rsid w:val="00BE77F8"/>
    <w:rsid w:val="00BE7AA8"/>
    <w:rsid w:val="00BF02CB"/>
    <w:rsid w:val="00BF0EC1"/>
    <w:rsid w:val="00BF0F76"/>
    <w:rsid w:val="00BF2A29"/>
    <w:rsid w:val="00BF3EE0"/>
    <w:rsid w:val="00BF649F"/>
    <w:rsid w:val="00BF72D2"/>
    <w:rsid w:val="00C00025"/>
    <w:rsid w:val="00C001B6"/>
    <w:rsid w:val="00C00BB7"/>
    <w:rsid w:val="00C02043"/>
    <w:rsid w:val="00C03FB4"/>
    <w:rsid w:val="00C0458C"/>
    <w:rsid w:val="00C049A3"/>
    <w:rsid w:val="00C04CE0"/>
    <w:rsid w:val="00C04F95"/>
    <w:rsid w:val="00C05C8B"/>
    <w:rsid w:val="00C06587"/>
    <w:rsid w:val="00C07C18"/>
    <w:rsid w:val="00C12A11"/>
    <w:rsid w:val="00C136B1"/>
    <w:rsid w:val="00C14676"/>
    <w:rsid w:val="00C15446"/>
    <w:rsid w:val="00C1653E"/>
    <w:rsid w:val="00C1672A"/>
    <w:rsid w:val="00C179A8"/>
    <w:rsid w:val="00C202BA"/>
    <w:rsid w:val="00C22183"/>
    <w:rsid w:val="00C23491"/>
    <w:rsid w:val="00C23B1A"/>
    <w:rsid w:val="00C23F4C"/>
    <w:rsid w:val="00C256AA"/>
    <w:rsid w:val="00C26ED8"/>
    <w:rsid w:val="00C27018"/>
    <w:rsid w:val="00C31123"/>
    <w:rsid w:val="00C31B8D"/>
    <w:rsid w:val="00C31FAA"/>
    <w:rsid w:val="00C32275"/>
    <w:rsid w:val="00C32999"/>
    <w:rsid w:val="00C335F9"/>
    <w:rsid w:val="00C3377E"/>
    <w:rsid w:val="00C33FD0"/>
    <w:rsid w:val="00C354A5"/>
    <w:rsid w:val="00C359CE"/>
    <w:rsid w:val="00C366BE"/>
    <w:rsid w:val="00C36913"/>
    <w:rsid w:val="00C375B0"/>
    <w:rsid w:val="00C40395"/>
    <w:rsid w:val="00C40734"/>
    <w:rsid w:val="00C40768"/>
    <w:rsid w:val="00C40A59"/>
    <w:rsid w:val="00C40E20"/>
    <w:rsid w:val="00C42265"/>
    <w:rsid w:val="00C426BF"/>
    <w:rsid w:val="00C44D90"/>
    <w:rsid w:val="00C45C9F"/>
    <w:rsid w:val="00C45F69"/>
    <w:rsid w:val="00C50135"/>
    <w:rsid w:val="00C50981"/>
    <w:rsid w:val="00C51394"/>
    <w:rsid w:val="00C5352D"/>
    <w:rsid w:val="00C53BD7"/>
    <w:rsid w:val="00C53BFE"/>
    <w:rsid w:val="00C54BA2"/>
    <w:rsid w:val="00C56782"/>
    <w:rsid w:val="00C602A6"/>
    <w:rsid w:val="00C63149"/>
    <w:rsid w:val="00C63519"/>
    <w:rsid w:val="00C65F02"/>
    <w:rsid w:val="00C6700B"/>
    <w:rsid w:val="00C6761A"/>
    <w:rsid w:val="00C67BFC"/>
    <w:rsid w:val="00C70270"/>
    <w:rsid w:val="00C7111F"/>
    <w:rsid w:val="00C712C1"/>
    <w:rsid w:val="00C71676"/>
    <w:rsid w:val="00C72831"/>
    <w:rsid w:val="00C72DC6"/>
    <w:rsid w:val="00C73B86"/>
    <w:rsid w:val="00C7516B"/>
    <w:rsid w:val="00C75236"/>
    <w:rsid w:val="00C76DA2"/>
    <w:rsid w:val="00C816DA"/>
    <w:rsid w:val="00C8379C"/>
    <w:rsid w:val="00C83B32"/>
    <w:rsid w:val="00C85019"/>
    <w:rsid w:val="00C85417"/>
    <w:rsid w:val="00C8666B"/>
    <w:rsid w:val="00C8797C"/>
    <w:rsid w:val="00C87F76"/>
    <w:rsid w:val="00C90344"/>
    <w:rsid w:val="00C91204"/>
    <w:rsid w:val="00C91290"/>
    <w:rsid w:val="00C9225F"/>
    <w:rsid w:val="00C9251F"/>
    <w:rsid w:val="00C95903"/>
    <w:rsid w:val="00C96356"/>
    <w:rsid w:val="00CA0779"/>
    <w:rsid w:val="00CA111E"/>
    <w:rsid w:val="00CA20B3"/>
    <w:rsid w:val="00CA398A"/>
    <w:rsid w:val="00CA41BF"/>
    <w:rsid w:val="00CA5FA0"/>
    <w:rsid w:val="00CA62F9"/>
    <w:rsid w:val="00CB0E96"/>
    <w:rsid w:val="00CB2673"/>
    <w:rsid w:val="00CB2816"/>
    <w:rsid w:val="00CB358E"/>
    <w:rsid w:val="00CB3D22"/>
    <w:rsid w:val="00CB3F71"/>
    <w:rsid w:val="00CB4583"/>
    <w:rsid w:val="00CB4B51"/>
    <w:rsid w:val="00CB5A2D"/>
    <w:rsid w:val="00CB6B42"/>
    <w:rsid w:val="00CB7271"/>
    <w:rsid w:val="00CB77BE"/>
    <w:rsid w:val="00CC1A44"/>
    <w:rsid w:val="00CC2762"/>
    <w:rsid w:val="00CC2F70"/>
    <w:rsid w:val="00CC4204"/>
    <w:rsid w:val="00CC517A"/>
    <w:rsid w:val="00CC70F1"/>
    <w:rsid w:val="00CD0158"/>
    <w:rsid w:val="00CD04E9"/>
    <w:rsid w:val="00CD2005"/>
    <w:rsid w:val="00CD29F2"/>
    <w:rsid w:val="00CD3D7C"/>
    <w:rsid w:val="00CD5D09"/>
    <w:rsid w:val="00CD620D"/>
    <w:rsid w:val="00CD661F"/>
    <w:rsid w:val="00CD7302"/>
    <w:rsid w:val="00CE0711"/>
    <w:rsid w:val="00CE0DCB"/>
    <w:rsid w:val="00CE1720"/>
    <w:rsid w:val="00CE1F42"/>
    <w:rsid w:val="00CE23BD"/>
    <w:rsid w:val="00CE3292"/>
    <w:rsid w:val="00CE35F9"/>
    <w:rsid w:val="00CE3B89"/>
    <w:rsid w:val="00CE52D0"/>
    <w:rsid w:val="00CE56CD"/>
    <w:rsid w:val="00CE613D"/>
    <w:rsid w:val="00CE61FA"/>
    <w:rsid w:val="00CE6787"/>
    <w:rsid w:val="00CE69F7"/>
    <w:rsid w:val="00CE7647"/>
    <w:rsid w:val="00CF38BE"/>
    <w:rsid w:val="00CF5129"/>
    <w:rsid w:val="00CF7212"/>
    <w:rsid w:val="00D0179B"/>
    <w:rsid w:val="00D02B5B"/>
    <w:rsid w:val="00D03D72"/>
    <w:rsid w:val="00D04234"/>
    <w:rsid w:val="00D0461D"/>
    <w:rsid w:val="00D07ACF"/>
    <w:rsid w:val="00D10A50"/>
    <w:rsid w:val="00D11A05"/>
    <w:rsid w:val="00D13768"/>
    <w:rsid w:val="00D1470F"/>
    <w:rsid w:val="00D15701"/>
    <w:rsid w:val="00D15EB2"/>
    <w:rsid w:val="00D15F36"/>
    <w:rsid w:val="00D17704"/>
    <w:rsid w:val="00D20C75"/>
    <w:rsid w:val="00D244C8"/>
    <w:rsid w:val="00D26BD3"/>
    <w:rsid w:val="00D26D28"/>
    <w:rsid w:val="00D30489"/>
    <w:rsid w:val="00D30C98"/>
    <w:rsid w:val="00D3176B"/>
    <w:rsid w:val="00D31D50"/>
    <w:rsid w:val="00D31F96"/>
    <w:rsid w:val="00D339F0"/>
    <w:rsid w:val="00D34436"/>
    <w:rsid w:val="00D411CC"/>
    <w:rsid w:val="00D41B30"/>
    <w:rsid w:val="00D41C99"/>
    <w:rsid w:val="00D44FD7"/>
    <w:rsid w:val="00D450A7"/>
    <w:rsid w:val="00D45D3D"/>
    <w:rsid w:val="00D45D99"/>
    <w:rsid w:val="00D47393"/>
    <w:rsid w:val="00D47ADE"/>
    <w:rsid w:val="00D503B0"/>
    <w:rsid w:val="00D50ACC"/>
    <w:rsid w:val="00D51284"/>
    <w:rsid w:val="00D515A9"/>
    <w:rsid w:val="00D51AB4"/>
    <w:rsid w:val="00D523B5"/>
    <w:rsid w:val="00D52577"/>
    <w:rsid w:val="00D52943"/>
    <w:rsid w:val="00D53A37"/>
    <w:rsid w:val="00D53D38"/>
    <w:rsid w:val="00D545FA"/>
    <w:rsid w:val="00D563CE"/>
    <w:rsid w:val="00D62260"/>
    <w:rsid w:val="00D623B5"/>
    <w:rsid w:val="00D62E08"/>
    <w:rsid w:val="00D72876"/>
    <w:rsid w:val="00D73228"/>
    <w:rsid w:val="00D73566"/>
    <w:rsid w:val="00D735F3"/>
    <w:rsid w:val="00D73B7F"/>
    <w:rsid w:val="00D73B84"/>
    <w:rsid w:val="00D73C59"/>
    <w:rsid w:val="00D76547"/>
    <w:rsid w:val="00D771C0"/>
    <w:rsid w:val="00D77BE9"/>
    <w:rsid w:val="00D803F0"/>
    <w:rsid w:val="00D8203F"/>
    <w:rsid w:val="00D8229D"/>
    <w:rsid w:val="00D861C9"/>
    <w:rsid w:val="00D865B5"/>
    <w:rsid w:val="00D91EDF"/>
    <w:rsid w:val="00D935CF"/>
    <w:rsid w:val="00D954A3"/>
    <w:rsid w:val="00D9608D"/>
    <w:rsid w:val="00D9712C"/>
    <w:rsid w:val="00D97BB6"/>
    <w:rsid w:val="00DA0C18"/>
    <w:rsid w:val="00DA1EB8"/>
    <w:rsid w:val="00DA321A"/>
    <w:rsid w:val="00DA36EA"/>
    <w:rsid w:val="00DA439C"/>
    <w:rsid w:val="00DA697B"/>
    <w:rsid w:val="00DB2433"/>
    <w:rsid w:val="00DB2683"/>
    <w:rsid w:val="00DB4388"/>
    <w:rsid w:val="00DB5FE9"/>
    <w:rsid w:val="00DB62A9"/>
    <w:rsid w:val="00DB6402"/>
    <w:rsid w:val="00DC0AA4"/>
    <w:rsid w:val="00DC0FD3"/>
    <w:rsid w:val="00DC2D1C"/>
    <w:rsid w:val="00DC310A"/>
    <w:rsid w:val="00DC3CD5"/>
    <w:rsid w:val="00DC54D4"/>
    <w:rsid w:val="00DC5B46"/>
    <w:rsid w:val="00DC744F"/>
    <w:rsid w:val="00DC7B87"/>
    <w:rsid w:val="00DD063C"/>
    <w:rsid w:val="00DD3491"/>
    <w:rsid w:val="00DD4F62"/>
    <w:rsid w:val="00DD579D"/>
    <w:rsid w:val="00DD5C59"/>
    <w:rsid w:val="00DD6041"/>
    <w:rsid w:val="00DD6211"/>
    <w:rsid w:val="00DD6288"/>
    <w:rsid w:val="00DD6289"/>
    <w:rsid w:val="00DD6E23"/>
    <w:rsid w:val="00DE181A"/>
    <w:rsid w:val="00DE2CE5"/>
    <w:rsid w:val="00DE2CF3"/>
    <w:rsid w:val="00DE3472"/>
    <w:rsid w:val="00DE3712"/>
    <w:rsid w:val="00DE4298"/>
    <w:rsid w:val="00DE4521"/>
    <w:rsid w:val="00DE5C6E"/>
    <w:rsid w:val="00DE5DA3"/>
    <w:rsid w:val="00DE620F"/>
    <w:rsid w:val="00DE6C67"/>
    <w:rsid w:val="00DF00DE"/>
    <w:rsid w:val="00DF0DF2"/>
    <w:rsid w:val="00DF2404"/>
    <w:rsid w:val="00DF7E94"/>
    <w:rsid w:val="00E0034B"/>
    <w:rsid w:val="00E0458B"/>
    <w:rsid w:val="00E04FCB"/>
    <w:rsid w:val="00E079E0"/>
    <w:rsid w:val="00E07F67"/>
    <w:rsid w:val="00E10490"/>
    <w:rsid w:val="00E118B7"/>
    <w:rsid w:val="00E11CF0"/>
    <w:rsid w:val="00E20C24"/>
    <w:rsid w:val="00E20E06"/>
    <w:rsid w:val="00E217D3"/>
    <w:rsid w:val="00E23E45"/>
    <w:rsid w:val="00E25648"/>
    <w:rsid w:val="00E26EFF"/>
    <w:rsid w:val="00E30A22"/>
    <w:rsid w:val="00E30A67"/>
    <w:rsid w:val="00E31329"/>
    <w:rsid w:val="00E31CF6"/>
    <w:rsid w:val="00E352E3"/>
    <w:rsid w:val="00E36FC3"/>
    <w:rsid w:val="00E409DA"/>
    <w:rsid w:val="00E40E8F"/>
    <w:rsid w:val="00E41139"/>
    <w:rsid w:val="00E4198A"/>
    <w:rsid w:val="00E459C1"/>
    <w:rsid w:val="00E45F74"/>
    <w:rsid w:val="00E461FF"/>
    <w:rsid w:val="00E501F8"/>
    <w:rsid w:val="00E507A5"/>
    <w:rsid w:val="00E50C9F"/>
    <w:rsid w:val="00E515E6"/>
    <w:rsid w:val="00E51C32"/>
    <w:rsid w:val="00E533F7"/>
    <w:rsid w:val="00E541B0"/>
    <w:rsid w:val="00E6171E"/>
    <w:rsid w:val="00E617B2"/>
    <w:rsid w:val="00E6409A"/>
    <w:rsid w:val="00E6629F"/>
    <w:rsid w:val="00E705A4"/>
    <w:rsid w:val="00E75E7E"/>
    <w:rsid w:val="00E763F6"/>
    <w:rsid w:val="00E76AE7"/>
    <w:rsid w:val="00E808D2"/>
    <w:rsid w:val="00E80B18"/>
    <w:rsid w:val="00E81088"/>
    <w:rsid w:val="00E8120F"/>
    <w:rsid w:val="00E81FC6"/>
    <w:rsid w:val="00E834BD"/>
    <w:rsid w:val="00E854F2"/>
    <w:rsid w:val="00E925BF"/>
    <w:rsid w:val="00E94519"/>
    <w:rsid w:val="00E95E22"/>
    <w:rsid w:val="00E96F30"/>
    <w:rsid w:val="00E97E18"/>
    <w:rsid w:val="00E97E32"/>
    <w:rsid w:val="00EA128B"/>
    <w:rsid w:val="00EA4D5B"/>
    <w:rsid w:val="00EA514C"/>
    <w:rsid w:val="00EA577E"/>
    <w:rsid w:val="00EB1106"/>
    <w:rsid w:val="00EB396D"/>
    <w:rsid w:val="00EB3DDC"/>
    <w:rsid w:val="00EB481B"/>
    <w:rsid w:val="00EB6121"/>
    <w:rsid w:val="00EB7DE7"/>
    <w:rsid w:val="00EC07C1"/>
    <w:rsid w:val="00EC0836"/>
    <w:rsid w:val="00EC1913"/>
    <w:rsid w:val="00EC1AB9"/>
    <w:rsid w:val="00EC2392"/>
    <w:rsid w:val="00EC24C6"/>
    <w:rsid w:val="00EC4921"/>
    <w:rsid w:val="00EC4C59"/>
    <w:rsid w:val="00EC4E70"/>
    <w:rsid w:val="00EC7C20"/>
    <w:rsid w:val="00ED240E"/>
    <w:rsid w:val="00ED2976"/>
    <w:rsid w:val="00ED3734"/>
    <w:rsid w:val="00ED3D86"/>
    <w:rsid w:val="00ED5460"/>
    <w:rsid w:val="00ED5D63"/>
    <w:rsid w:val="00EE00C1"/>
    <w:rsid w:val="00EE14C2"/>
    <w:rsid w:val="00EE2785"/>
    <w:rsid w:val="00EE3365"/>
    <w:rsid w:val="00EE481C"/>
    <w:rsid w:val="00EE52C2"/>
    <w:rsid w:val="00EE57D2"/>
    <w:rsid w:val="00EE5DE1"/>
    <w:rsid w:val="00EE6429"/>
    <w:rsid w:val="00EE7B30"/>
    <w:rsid w:val="00EF48EE"/>
    <w:rsid w:val="00EF4D25"/>
    <w:rsid w:val="00EF5859"/>
    <w:rsid w:val="00EF5A9F"/>
    <w:rsid w:val="00EF6C37"/>
    <w:rsid w:val="00EF79DA"/>
    <w:rsid w:val="00F00E4A"/>
    <w:rsid w:val="00F040F4"/>
    <w:rsid w:val="00F04462"/>
    <w:rsid w:val="00F04717"/>
    <w:rsid w:val="00F11F33"/>
    <w:rsid w:val="00F14203"/>
    <w:rsid w:val="00F146F7"/>
    <w:rsid w:val="00F15049"/>
    <w:rsid w:val="00F20BAF"/>
    <w:rsid w:val="00F20BC8"/>
    <w:rsid w:val="00F221B2"/>
    <w:rsid w:val="00F23D78"/>
    <w:rsid w:val="00F24063"/>
    <w:rsid w:val="00F24C1B"/>
    <w:rsid w:val="00F25FD0"/>
    <w:rsid w:val="00F262E0"/>
    <w:rsid w:val="00F269DF"/>
    <w:rsid w:val="00F27D34"/>
    <w:rsid w:val="00F27E2F"/>
    <w:rsid w:val="00F30A18"/>
    <w:rsid w:val="00F31484"/>
    <w:rsid w:val="00F33373"/>
    <w:rsid w:val="00F349F2"/>
    <w:rsid w:val="00F354C1"/>
    <w:rsid w:val="00F357E9"/>
    <w:rsid w:val="00F36CAC"/>
    <w:rsid w:val="00F42D13"/>
    <w:rsid w:val="00F449D0"/>
    <w:rsid w:val="00F463EE"/>
    <w:rsid w:val="00F47ACE"/>
    <w:rsid w:val="00F52588"/>
    <w:rsid w:val="00F540B4"/>
    <w:rsid w:val="00F55CCF"/>
    <w:rsid w:val="00F55EA4"/>
    <w:rsid w:val="00F55ED6"/>
    <w:rsid w:val="00F56B06"/>
    <w:rsid w:val="00F626C5"/>
    <w:rsid w:val="00F6347A"/>
    <w:rsid w:val="00F638FF"/>
    <w:rsid w:val="00F64908"/>
    <w:rsid w:val="00F6569B"/>
    <w:rsid w:val="00F6604D"/>
    <w:rsid w:val="00F6671E"/>
    <w:rsid w:val="00F67999"/>
    <w:rsid w:val="00F701F5"/>
    <w:rsid w:val="00F70DA5"/>
    <w:rsid w:val="00F7138D"/>
    <w:rsid w:val="00F71D8B"/>
    <w:rsid w:val="00F7275C"/>
    <w:rsid w:val="00F73B13"/>
    <w:rsid w:val="00F75A97"/>
    <w:rsid w:val="00F801D3"/>
    <w:rsid w:val="00F8035F"/>
    <w:rsid w:val="00F85961"/>
    <w:rsid w:val="00F861D9"/>
    <w:rsid w:val="00F900DF"/>
    <w:rsid w:val="00F90728"/>
    <w:rsid w:val="00F9436E"/>
    <w:rsid w:val="00F94C6C"/>
    <w:rsid w:val="00F94FDC"/>
    <w:rsid w:val="00F95B53"/>
    <w:rsid w:val="00F95DAE"/>
    <w:rsid w:val="00F96BA4"/>
    <w:rsid w:val="00F96FE5"/>
    <w:rsid w:val="00FA4A2C"/>
    <w:rsid w:val="00FA4DCD"/>
    <w:rsid w:val="00FA6406"/>
    <w:rsid w:val="00FA6DD4"/>
    <w:rsid w:val="00FB1174"/>
    <w:rsid w:val="00FB2BF5"/>
    <w:rsid w:val="00FB38E6"/>
    <w:rsid w:val="00FB5450"/>
    <w:rsid w:val="00FB5DFD"/>
    <w:rsid w:val="00FB6C87"/>
    <w:rsid w:val="00FB7129"/>
    <w:rsid w:val="00FB79F8"/>
    <w:rsid w:val="00FC008D"/>
    <w:rsid w:val="00FC13B6"/>
    <w:rsid w:val="00FC1EDB"/>
    <w:rsid w:val="00FC22A0"/>
    <w:rsid w:val="00FC2892"/>
    <w:rsid w:val="00FC2CC4"/>
    <w:rsid w:val="00FC390A"/>
    <w:rsid w:val="00FC3A11"/>
    <w:rsid w:val="00FC3B90"/>
    <w:rsid w:val="00FC4B8B"/>
    <w:rsid w:val="00FC4DAC"/>
    <w:rsid w:val="00FC5F1F"/>
    <w:rsid w:val="00FC6671"/>
    <w:rsid w:val="00FC6C58"/>
    <w:rsid w:val="00FD0481"/>
    <w:rsid w:val="00FD0AE1"/>
    <w:rsid w:val="00FD251A"/>
    <w:rsid w:val="00FD2AAA"/>
    <w:rsid w:val="00FD4B46"/>
    <w:rsid w:val="00FD561D"/>
    <w:rsid w:val="00FD61B7"/>
    <w:rsid w:val="00FD6383"/>
    <w:rsid w:val="00FD700B"/>
    <w:rsid w:val="00FE2BE4"/>
    <w:rsid w:val="00FE3272"/>
    <w:rsid w:val="00FE4245"/>
    <w:rsid w:val="00FF20CB"/>
    <w:rsid w:val="00FF34A5"/>
    <w:rsid w:val="00FF5F25"/>
    <w:rsid w:val="00FF65D7"/>
    <w:rsid w:val="00FF6B36"/>
    <w:rsid w:val="0638764B"/>
    <w:rsid w:val="074C434E"/>
    <w:rsid w:val="087D7061"/>
    <w:rsid w:val="0B1F79FB"/>
    <w:rsid w:val="0EFD0B0E"/>
    <w:rsid w:val="0F1D7F3B"/>
    <w:rsid w:val="12BA5E57"/>
    <w:rsid w:val="14776B81"/>
    <w:rsid w:val="14C6648B"/>
    <w:rsid w:val="15C331FB"/>
    <w:rsid w:val="16A26097"/>
    <w:rsid w:val="18B36028"/>
    <w:rsid w:val="1ED42C4F"/>
    <w:rsid w:val="266B1B3D"/>
    <w:rsid w:val="29014D7B"/>
    <w:rsid w:val="29A67E88"/>
    <w:rsid w:val="29C11D13"/>
    <w:rsid w:val="2C2046F3"/>
    <w:rsid w:val="2DF52E09"/>
    <w:rsid w:val="329E6935"/>
    <w:rsid w:val="33DA6152"/>
    <w:rsid w:val="35143424"/>
    <w:rsid w:val="35A422AC"/>
    <w:rsid w:val="374F6C07"/>
    <w:rsid w:val="376826F1"/>
    <w:rsid w:val="39DB161E"/>
    <w:rsid w:val="39F53781"/>
    <w:rsid w:val="3A700B08"/>
    <w:rsid w:val="3C997F71"/>
    <w:rsid w:val="3D721955"/>
    <w:rsid w:val="40BB2FF8"/>
    <w:rsid w:val="41AA2901"/>
    <w:rsid w:val="44C87E49"/>
    <w:rsid w:val="45A1313A"/>
    <w:rsid w:val="4C990709"/>
    <w:rsid w:val="4CBE3FB3"/>
    <w:rsid w:val="4E2503D0"/>
    <w:rsid w:val="4E6B4F91"/>
    <w:rsid w:val="500534BE"/>
    <w:rsid w:val="52975E9A"/>
    <w:rsid w:val="560617C0"/>
    <w:rsid w:val="566117D3"/>
    <w:rsid w:val="56AE226B"/>
    <w:rsid w:val="57CA590F"/>
    <w:rsid w:val="5B4B494B"/>
    <w:rsid w:val="5C672478"/>
    <w:rsid w:val="5DCE15C7"/>
    <w:rsid w:val="5E881CBB"/>
    <w:rsid w:val="617A4951"/>
    <w:rsid w:val="61E176A4"/>
    <w:rsid w:val="64373B62"/>
    <w:rsid w:val="67FC48A0"/>
    <w:rsid w:val="6A19324B"/>
    <w:rsid w:val="6E596C53"/>
    <w:rsid w:val="7159195C"/>
    <w:rsid w:val="717C5684"/>
    <w:rsid w:val="71B65F4F"/>
    <w:rsid w:val="75E1492C"/>
    <w:rsid w:val="75FC3F51"/>
    <w:rsid w:val="765414E7"/>
    <w:rsid w:val="767D3618"/>
    <w:rsid w:val="DEDDC8E1"/>
    <w:rsid w:val="F78DD7C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qFormat="1" w:unhideWhenUsed="0" w:uiPriority="99" w:name="FollowedHyperlink"/>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1"/>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3"/>
    <w:qFormat/>
    <w:uiPriority w:val="9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4"/>
    <w:qFormat/>
    <w:uiPriority w:val="99"/>
    <w:pPr>
      <w:spacing w:after="120"/>
    </w:pPr>
  </w:style>
  <w:style w:type="paragraph" w:styleId="6">
    <w:name w:val="Body Text Indent"/>
    <w:basedOn w:val="1"/>
    <w:link w:val="25"/>
    <w:qFormat/>
    <w:uiPriority w:val="99"/>
    <w:pPr>
      <w:spacing w:after="120"/>
      <w:ind w:left="420" w:leftChars="200"/>
    </w:pPr>
  </w:style>
  <w:style w:type="paragraph" w:styleId="7">
    <w:name w:val="toc 3"/>
    <w:basedOn w:val="1"/>
    <w:next w:val="1"/>
    <w:qFormat/>
    <w:uiPriority w:val="39"/>
    <w:pPr>
      <w:widowControl/>
      <w:spacing w:after="100" w:line="276" w:lineRule="auto"/>
      <w:ind w:left="440"/>
      <w:jc w:val="left"/>
    </w:pPr>
    <w:rPr>
      <w:rFonts w:ascii="Calibri" w:hAnsi="Calibri"/>
      <w:kern w:val="0"/>
      <w:sz w:val="22"/>
      <w:szCs w:val="22"/>
    </w:rPr>
  </w:style>
  <w:style w:type="paragraph" w:styleId="8">
    <w:name w:val="Date"/>
    <w:basedOn w:val="1"/>
    <w:next w:val="1"/>
    <w:link w:val="26"/>
    <w:qFormat/>
    <w:uiPriority w:val="99"/>
    <w:pPr>
      <w:widowControl/>
      <w:ind w:left="100" w:leftChars="2500"/>
      <w:jc w:val="left"/>
    </w:pPr>
    <w:rPr>
      <w:rFonts w:ascii="Calibri" w:hAnsi="Calibri"/>
      <w:kern w:val="0"/>
      <w:sz w:val="24"/>
      <w:lang w:eastAsia="en-US"/>
    </w:rPr>
  </w:style>
  <w:style w:type="paragraph" w:styleId="9">
    <w:name w:val="Balloon Text"/>
    <w:basedOn w:val="1"/>
    <w:link w:val="27"/>
    <w:qFormat/>
    <w:uiPriority w:val="99"/>
    <w:rPr>
      <w:sz w:val="18"/>
      <w:szCs w:val="18"/>
    </w:rPr>
  </w:style>
  <w:style w:type="paragraph" w:styleId="10">
    <w:name w:val="footer"/>
    <w:basedOn w:val="1"/>
    <w:link w:val="28"/>
    <w:qFormat/>
    <w:uiPriority w:val="99"/>
    <w:pPr>
      <w:widowControl/>
      <w:tabs>
        <w:tab w:val="center" w:pos="4153"/>
        <w:tab w:val="right" w:pos="8306"/>
      </w:tabs>
      <w:snapToGrid w:val="0"/>
      <w:jc w:val="left"/>
    </w:pPr>
    <w:rPr>
      <w:rFonts w:ascii="Calibri" w:hAnsi="Calibri"/>
      <w:kern w:val="0"/>
      <w:sz w:val="18"/>
      <w:szCs w:val="18"/>
      <w:lang w:eastAsia="en-US"/>
    </w:rPr>
  </w:style>
  <w:style w:type="paragraph" w:styleId="11">
    <w:name w:val="header"/>
    <w:basedOn w:val="1"/>
    <w:link w:val="29"/>
    <w:qFormat/>
    <w:uiPriority w:val="99"/>
    <w:pPr>
      <w:widowControl/>
      <w:tabs>
        <w:tab w:val="center" w:pos="4153"/>
        <w:tab w:val="right" w:pos="8306"/>
      </w:tabs>
      <w:snapToGrid w:val="0"/>
      <w:jc w:val="center"/>
    </w:pPr>
    <w:rPr>
      <w:rFonts w:ascii="Calibri" w:hAnsi="Calibri"/>
      <w:kern w:val="0"/>
      <w:sz w:val="18"/>
      <w:szCs w:val="18"/>
      <w:lang w:eastAsia="en-US"/>
    </w:rPr>
  </w:style>
  <w:style w:type="paragraph" w:styleId="12">
    <w:name w:val="toc 1"/>
    <w:basedOn w:val="1"/>
    <w:next w:val="1"/>
    <w:qFormat/>
    <w:uiPriority w:val="39"/>
    <w:pPr>
      <w:widowControl/>
      <w:spacing w:after="100" w:line="276" w:lineRule="auto"/>
      <w:jc w:val="left"/>
    </w:pPr>
    <w:rPr>
      <w:rFonts w:ascii="Calibri" w:hAnsi="Calibri"/>
      <w:kern w:val="0"/>
      <w:sz w:val="22"/>
      <w:szCs w:val="22"/>
    </w:rPr>
  </w:style>
  <w:style w:type="paragraph" w:styleId="13">
    <w:name w:val="toc 2"/>
    <w:basedOn w:val="1"/>
    <w:next w:val="1"/>
    <w:qFormat/>
    <w:uiPriority w:val="39"/>
    <w:pPr>
      <w:widowControl/>
      <w:spacing w:after="100" w:line="276" w:lineRule="auto"/>
      <w:ind w:left="220"/>
      <w:jc w:val="left"/>
    </w:pPr>
    <w:rPr>
      <w:rFonts w:ascii="Calibri" w:hAnsi="Calibri"/>
      <w:kern w:val="0"/>
      <w:sz w:val="22"/>
      <w:szCs w:val="22"/>
    </w:rPr>
  </w:style>
  <w:style w:type="paragraph" w:styleId="14">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16">
    <w:name w:val="Table Grid"/>
    <w:basedOn w:val="15"/>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99"/>
    <w:rPr>
      <w:rFonts w:cs="Times New Roman"/>
    </w:rPr>
  </w:style>
  <w:style w:type="character" w:styleId="19">
    <w:name w:val="FollowedHyperlink"/>
    <w:basedOn w:val="17"/>
    <w:semiHidden/>
    <w:qFormat/>
    <w:uiPriority w:val="99"/>
    <w:rPr>
      <w:rFonts w:cs="Times New Roman"/>
      <w:color w:val="800080"/>
      <w:u w:val="single"/>
    </w:rPr>
  </w:style>
  <w:style w:type="character" w:styleId="20">
    <w:name w:val="Hyperlink"/>
    <w:basedOn w:val="17"/>
    <w:qFormat/>
    <w:uiPriority w:val="99"/>
    <w:rPr>
      <w:rFonts w:cs="Times New Roman"/>
      <w:color w:val="0000FF"/>
      <w:u w:val="single"/>
    </w:rPr>
  </w:style>
  <w:style w:type="character" w:customStyle="1" w:styleId="21">
    <w:name w:val="标题 1 Char"/>
    <w:basedOn w:val="17"/>
    <w:link w:val="2"/>
    <w:qFormat/>
    <w:locked/>
    <w:uiPriority w:val="99"/>
    <w:rPr>
      <w:rFonts w:ascii="Times New Roman" w:hAnsi="Times New Roman" w:eastAsia="宋体" w:cs="Times New Roman"/>
      <w:b/>
      <w:bCs/>
      <w:kern w:val="44"/>
      <w:sz w:val="44"/>
      <w:szCs w:val="44"/>
    </w:rPr>
  </w:style>
  <w:style w:type="character" w:customStyle="1" w:styleId="22">
    <w:name w:val="标题 2 Char"/>
    <w:basedOn w:val="17"/>
    <w:link w:val="3"/>
    <w:semiHidden/>
    <w:qFormat/>
    <w:locked/>
    <w:uiPriority w:val="99"/>
    <w:rPr>
      <w:rFonts w:ascii="Cambria" w:hAnsi="Cambria" w:eastAsia="宋体" w:cs="Times New Roman"/>
      <w:b/>
      <w:bCs/>
      <w:kern w:val="2"/>
      <w:sz w:val="32"/>
      <w:szCs w:val="32"/>
    </w:rPr>
  </w:style>
  <w:style w:type="character" w:customStyle="1" w:styleId="23">
    <w:name w:val="标题 3 Char"/>
    <w:basedOn w:val="17"/>
    <w:link w:val="4"/>
    <w:qFormat/>
    <w:locked/>
    <w:uiPriority w:val="99"/>
    <w:rPr>
      <w:rFonts w:ascii="Times New Roman" w:hAnsi="Times New Roman" w:eastAsia="宋体" w:cs="Times New Roman"/>
      <w:b/>
      <w:bCs/>
      <w:kern w:val="2"/>
      <w:sz w:val="32"/>
      <w:szCs w:val="32"/>
    </w:rPr>
  </w:style>
  <w:style w:type="character" w:customStyle="1" w:styleId="24">
    <w:name w:val="正文文本 Char"/>
    <w:basedOn w:val="17"/>
    <w:link w:val="5"/>
    <w:qFormat/>
    <w:locked/>
    <w:uiPriority w:val="99"/>
    <w:rPr>
      <w:rFonts w:ascii="Times New Roman" w:hAnsi="Times New Roman" w:eastAsia="宋体" w:cs="Times New Roman"/>
      <w:kern w:val="2"/>
      <w:sz w:val="24"/>
      <w:szCs w:val="24"/>
    </w:rPr>
  </w:style>
  <w:style w:type="character" w:customStyle="1" w:styleId="25">
    <w:name w:val="正文文本缩进 Char"/>
    <w:basedOn w:val="17"/>
    <w:link w:val="6"/>
    <w:qFormat/>
    <w:locked/>
    <w:uiPriority w:val="99"/>
    <w:rPr>
      <w:rFonts w:ascii="Times New Roman" w:hAnsi="Times New Roman" w:eastAsia="宋体" w:cs="Times New Roman"/>
      <w:kern w:val="2"/>
      <w:sz w:val="24"/>
      <w:szCs w:val="24"/>
    </w:rPr>
  </w:style>
  <w:style w:type="character" w:customStyle="1" w:styleId="26">
    <w:name w:val="日期 Char"/>
    <w:basedOn w:val="17"/>
    <w:link w:val="8"/>
    <w:qFormat/>
    <w:locked/>
    <w:uiPriority w:val="99"/>
    <w:rPr>
      <w:rFonts w:ascii="Calibri" w:hAnsi="Calibri" w:eastAsia="宋体" w:cs="Times New Roman"/>
      <w:sz w:val="24"/>
      <w:szCs w:val="24"/>
      <w:lang w:eastAsia="en-US"/>
    </w:rPr>
  </w:style>
  <w:style w:type="character" w:customStyle="1" w:styleId="27">
    <w:name w:val="批注框文本 Char"/>
    <w:basedOn w:val="17"/>
    <w:link w:val="9"/>
    <w:qFormat/>
    <w:locked/>
    <w:uiPriority w:val="99"/>
    <w:rPr>
      <w:rFonts w:ascii="Times New Roman" w:hAnsi="Times New Roman" w:eastAsia="宋体" w:cs="Times New Roman"/>
      <w:kern w:val="2"/>
      <w:sz w:val="18"/>
      <w:szCs w:val="18"/>
    </w:rPr>
  </w:style>
  <w:style w:type="character" w:customStyle="1" w:styleId="28">
    <w:name w:val="页脚 Char"/>
    <w:basedOn w:val="17"/>
    <w:link w:val="10"/>
    <w:qFormat/>
    <w:locked/>
    <w:uiPriority w:val="99"/>
    <w:rPr>
      <w:rFonts w:ascii="Calibri" w:hAnsi="Calibri" w:eastAsia="宋体" w:cs="Times New Roman"/>
      <w:sz w:val="18"/>
      <w:szCs w:val="18"/>
      <w:lang w:eastAsia="en-US"/>
    </w:rPr>
  </w:style>
  <w:style w:type="character" w:customStyle="1" w:styleId="29">
    <w:name w:val="页眉 Char"/>
    <w:basedOn w:val="17"/>
    <w:link w:val="11"/>
    <w:qFormat/>
    <w:locked/>
    <w:uiPriority w:val="99"/>
    <w:rPr>
      <w:rFonts w:ascii="Calibri" w:hAnsi="Calibri" w:eastAsia="宋体" w:cs="Times New Roman"/>
      <w:sz w:val="18"/>
      <w:szCs w:val="18"/>
      <w:lang w:eastAsia="en-US"/>
    </w:rPr>
  </w:style>
  <w:style w:type="character" w:customStyle="1" w:styleId="30">
    <w:name w:val="font41"/>
    <w:basedOn w:val="17"/>
    <w:qFormat/>
    <w:uiPriority w:val="99"/>
    <w:rPr>
      <w:rFonts w:ascii="Times New Roman" w:hAnsi="Times New Roman" w:cs="Times New Roman"/>
      <w:color w:val="000000"/>
      <w:sz w:val="24"/>
      <w:szCs w:val="24"/>
      <w:u w:val="none"/>
    </w:rPr>
  </w:style>
  <w:style w:type="character" w:customStyle="1" w:styleId="31">
    <w:name w:val="apple-style-span"/>
    <w:basedOn w:val="17"/>
    <w:qFormat/>
    <w:uiPriority w:val="99"/>
    <w:rPr>
      <w:rFonts w:cs="Times New Roman"/>
    </w:rPr>
  </w:style>
  <w:style w:type="character" w:customStyle="1" w:styleId="32">
    <w:name w:val="ca-8"/>
    <w:basedOn w:val="17"/>
    <w:qFormat/>
    <w:uiPriority w:val="99"/>
    <w:rPr>
      <w:rFonts w:cs="Times New Roman"/>
    </w:rPr>
  </w:style>
  <w:style w:type="character" w:customStyle="1" w:styleId="33">
    <w:name w:val="font31"/>
    <w:basedOn w:val="17"/>
    <w:qFormat/>
    <w:uiPriority w:val="99"/>
    <w:rPr>
      <w:rFonts w:ascii="楷体_GB2312" w:eastAsia="楷体_GB2312" w:cs="Times New Roman"/>
      <w:color w:val="000000"/>
      <w:sz w:val="24"/>
      <w:szCs w:val="24"/>
      <w:u w:val="none"/>
    </w:rPr>
  </w:style>
  <w:style w:type="character" w:customStyle="1" w:styleId="34">
    <w:name w:val="font21"/>
    <w:basedOn w:val="17"/>
    <w:qFormat/>
    <w:uiPriority w:val="99"/>
    <w:rPr>
      <w:rFonts w:ascii="楷体_GB2312" w:eastAsia="楷体_GB2312" w:cs="Times New Roman"/>
      <w:color w:val="000000"/>
      <w:sz w:val="28"/>
      <w:szCs w:val="28"/>
      <w:u w:val="none"/>
    </w:rPr>
  </w:style>
  <w:style w:type="character" w:customStyle="1" w:styleId="35">
    <w:name w:val="font11"/>
    <w:basedOn w:val="17"/>
    <w:qFormat/>
    <w:uiPriority w:val="99"/>
    <w:rPr>
      <w:rFonts w:ascii="Times New Roman" w:hAnsi="Times New Roman" w:cs="Times New Roman"/>
      <w:color w:val="000000"/>
      <w:sz w:val="28"/>
      <w:szCs w:val="28"/>
      <w:u w:val="none"/>
    </w:rPr>
  </w:style>
  <w:style w:type="paragraph" w:customStyle="1" w:styleId="36">
    <w:name w:val="p15"/>
    <w:basedOn w:val="1"/>
    <w:qFormat/>
    <w:uiPriority w:val="99"/>
    <w:pPr>
      <w:widowControl/>
    </w:pPr>
    <w:rPr>
      <w:kern w:val="0"/>
      <w:szCs w:val="21"/>
    </w:rPr>
  </w:style>
  <w:style w:type="paragraph" w:customStyle="1" w:styleId="37">
    <w:name w:val="p0"/>
    <w:basedOn w:val="1"/>
    <w:qFormat/>
    <w:uiPriority w:val="99"/>
    <w:pPr>
      <w:widowControl/>
    </w:pPr>
    <w:rPr>
      <w:kern w:val="0"/>
      <w:szCs w:val="21"/>
    </w:rPr>
  </w:style>
  <w:style w:type="paragraph" w:customStyle="1" w:styleId="38">
    <w:name w:val="font5"/>
    <w:basedOn w:val="1"/>
    <w:qFormat/>
    <w:uiPriority w:val="99"/>
    <w:pPr>
      <w:widowControl/>
      <w:spacing w:before="100" w:beforeAutospacing="1" w:after="100" w:afterAutospacing="1"/>
      <w:jc w:val="left"/>
    </w:pPr>
    <w:rPr>
      <w:rFonts w:ascii="宋体" w:hAnsi="宋体" w:cs="宋体"/>
      <w:b/>
      <w:bCs/>
      <w:kern w:val="0"/>
      <w:sz w:val="24"/>
    </w:rPr>
  </w:style>
  <w:style w:type="paragraph" w:customStyle="1" w:styleId="39">
    <w:name w:val="font6"/>
    <w:basedOn w:val="1"/>
    <w:qFormat/>
    <w:uiPriority w:val="99"/>
    <w:pPr>
      <w:widowControl/>
      <w:spacing w:before="100" w:beforeAutospacing="1" w:after="100" w:afterAutospacing="1"/>
      <w:jc w:val="left"/>
    </w:pPr>
    <w:rPr>
      <w:rFonts w:ascii="宋体" w:hAnsi="宋体" w:cs="宋体"/>
      <w:kern w:val="0"/>
      <w:sz w:val="22"/>
      <w:szCs w:val="22"/>
    </w:rPr>
  </w:style>
  <w:style w:type="paragraph" w:customStyle="1" w:styleId="40">
    <w:name w:val="font7"/>
    <w:basedOn w:val="1"/>
    <w:qFormat/>
    <w:uiPriority w:val="99"/>
    <w:pPr>
      <w:widowControl/>
      <w:spacing w:before="100" w:beforeAutospacing="1" w:after="100" w:afterAutospacing="1"/>
      <w:jc w:val="left"/>
    </w:pPr>
    <w:rPr>
      <w:rFonts w:ascii="宋体" w:hAnsi="宋体" w:cs="宋体"/>
      <w:kern w:val="0"/>
      <w:sz w:val="18"/>
      <w:szCs w:val="18"/>
    </w:rPr>
  </w:style>
  <w:style w:type="paragraph" w:customStyle="1" w:styleId="41">
    <w:name w:val="font8"/>
    <w:basedOn w:val="1"/>
    <w:qFormat/>
    <w:uiPriority w:val="99"/>
    <w:pPr>
      <w:widowControl/>
      <w:spacing w:before="100" w:beforeAutospacing="1" w:after="100" w:afterAutospacing="1"/>
      <w:jc w:val="left"/>
    </w:pPr>
    <w:rPr>
      <w:rFonts w:ascii="宋体" w:hAnsi="宋体" w:cs="宋体"/>
      <w:b/>
      <w:bCs/>
      <w:color w:val="000000"/>
      <w:kern w:val="0"/>
      <w:sz w:val="18"/>
      <w:szCs w:val="18"/>
    </w:rPr>
  </w:style>
  <w:style w:type="paragraph" w:customStyle="1" w:styleId="42">
    <w:name w:val="font9"/>
    <w:basedOn w:val="1"/>
    <w:qFormat/>
    <w:uiPriority w:val="99"/>
    <w:pPr>
      <w:widowControl/>
      <w:spacing w:before="100" w:beforeAutospacing="1" w:after="100" w:afterAutospacing="1"/>
      <w:jc w:val="left"/>
    </w:pPr>
    <w:rPr>
      <w:rFonts w:ascii="宋体" w:hAnsi="宋体" w:cs="宋体"/>
      <w:color w:val="000000"/>
      <w:kern w:val="0"/>
      <w:sz w:val="18"/>
      <w:szCs w:val="18"/>
    </w:rPr>
  </w:style>
  <w:style w:type="paragraph" w:customStyle="1" w:styleId="43">
    <w:name w:val="xl10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2"/>
      <w:szCs w:val="22"/>
    </w:rPr>
  </w:style>
  <w:style w:type="paragraph" w:customStyle="1" w:styleId="44">
    <w:name w:val="xl102"/>
    <w:basedOn w:val="1"/>
    <w:qFormat/>
    <w:uiPriority w:val="99"/>
    <w:pPr>
      <w:widowControl/>
      <w:spacing w:before="100" w:beforeAutospacing="1" w:after="100" w:afterAutospacing="1"/>
      <w:jc w:val="left"/>
      <w:textAlignment w:val="center"/>
    </w:pPr>
    <w:rPr>
      <w:rFonts w:ascii="宋体" w:hAnsi="宋体" w:cs="宋体"/>
      <w:b/>
      <w:bCs/>
      <w:kern w:val="0"/>
      <w:sz w:val="24"/>
    </w:rPr>
  </w:style>
  <w:style w:type="paragraph" w:customStyle="1" w:styleId="45">
    <w:name w:val="xl103"/>
    <w:basedOn w:val="1"/>
    <w:qFormat/>
    <w:uiPriority w:val="99"/>
    <w:pPr>
      <w:widowControl/>
      <w:spacing w:before="100" w:beforeAutospacing="1" w:after="100" w:afterAutospacing="1"/>
      <w:jc w:val="left"/>
      <w:textAlignment w:val="center"/>
    </w:pPr>
    <w:rPr>
      <w:rFonts w:ascii="黑体" w:hAnsi="黑体" w:eastAsia="黑体" w:cs="宋体"/>
      <w:kern w:val="0"/>
      <w:sz w:val="24"/>
    </w:rPr>
  </w:style>
  <w:style w:type="paragraph" w:customStyle="1" w:styleId="46">
    <w:name w:val="xl10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rPr>
  </w:style>
  <w:style w:type="paragraph" w:customStyle="1" w:styleId="47">
    <w:name w:val="xl10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rPr>
  </w:style>
  <w:style w:type="paragraph" w:customStyle="1" w:styleId="48">
    <w:name w:val="xl106"/>
    <w:basedOn w:val="1"/>
    <w:qFormat/>
    <w:uiPriority w:val="99"/>
    <w:pPr>
      <w:widowControl/>
      <w:spacing w:before="100" w:beforeAutospacing="1" w:after="100" w:afterAutospacing="1"/>
      <w:jc w:val="left"/>
      <w:textAlignment w:val="center"/>
    </w:pPr>
    <w:rPr>
      <w:rFonts w:ascii="宋体" w:hAnsi="宋体" w:cs="宋体"/>
      <w:kern w:val="0"/>
      <w:sz w:val="24"/>
    </w:rPr>
  </w:style>
  <w:style w:type="paragraph" w:customStyle="1" w:styleId="49">
    <w:name w:val="xl10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4"/>
    </w:rPr>
  </w:style>
  <w:style w:type="paragraph" w:customStyle="1" w:styleId="50">
    <w:name w:val="xl10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2"/>
      <w:szCs w:val="22"/>
    </w:rPr>
  </w:style>
  <w:style w:type="paragraph" w:customStyle="1" w:styleId="51">
    <w:name w:val="xl10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2"/>
      <w:szCs w:val="22"/>
    </w:rPr>
  </w:style>
  <w:style w:type="paragraph" w:customStyle="1" w:styleId="52">
    <w:name w:val="xl11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2"/>
      <w:szCs w:val="22"/>
    </w:rPr>
  </w:style>
  <w:style w:type="paragraph" w:customStyle="1" w:styleId="53">
    <w:name w:val="xl111"/>
    <w:basedOn w:val="1"/>
    <w:qFormat/>
    <w:uiPriority w:val="99"/>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54">
    <w:name w:val="xl112"/>
    <w:basedOn w:val="1"/>
    <w:qFormat/>
    <w:uiPriority w:val="99"/>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55">
    <w:name w:val="xl113"/>
    <w:basedOn w:val="1"/>
    <w:qFormat/>
    <w:uiPriority w:val="99"/>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56">
    <w:name w:val="xl11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57">
    <w:name w:val="xl115"/>
    <w:basedOn w:val="1"/>
    <w:qFormat/>
    <w:uiPriority w:val="99"/>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58">
    <w:name w:val="xl116"/>
    <w:basedOn w:val="1"/>
    <w:qFormat/>
    <w:uiPriority w:val="99"/>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59">
    <w:name w:val="xl117"/>
    <w:basedOn w:val="1"/>
    <w:qFormat/>
    <w:uiPriority w:val="99"/>
    <w:pPr>
      <w:widowControl/>
      <w:pBdr>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60">
    <w:name w:val="xl118"/>
    <w:basedOn w:val="1"/>
    <w:qFormat/>
    <w:uiPriority w:val="99"/>
    <w:pPr>
      <w:widowControl/>
      <w:pBdr>
        <w:top w:val="single" w:color="auto" w:sz="4" w:space="0"/>
        <w:left w:val="single" w:color="auto" w:sz="4" w:space="0"/>
        <w:bottom w:val="single" w:color="auto" w:sz="4" w:space="0"/>
        <w:right w:val="single" w:color="auto" w:sz="4" w:space="0"/>
      </w:pBdr>
      <w:shd w:val="clear" w:color="000000" w:fill="FF0000"/>
      <w:spacing w:before="100" w:beforeAutospacing="1" w:after="100" w:afterAutospacing="1"/>
      <w:jc w:val="left"/>
      <w:textAlignment w:val="center"/>
    </w:pPr>
    <w:rPr>
      <w:rFonts w:ascii="宋体" w:hAnsi="宋体" w:cs="宋体"/>
      <w:kern w:val="0"/>
      <w:sz w:val="22"/>
      <w:szCs w:val="22"/>
    </w:rPr>
  </w:style>
  <w:style w:type="paragraph" w:customStyle="1" w:styleId="61">
    <w:name w:val="xl11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62">
    <w:name w:val="xl120"/>
    <w:basedOn w:val="1"/>
    <w:qFormat/>
    <w:uiPriority w:val="99"/>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63">
    <w:name w:val="xl121"/>
    <w:basedOn w:val="1"/>
    <w:qFormat/>
    <w:uiPriority w:val="99"/>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64">
    <w:name w:val="xl122"/>
    <w:basedOn w:val="1"/>
    <w:qFormat/>
    <w:uiPriority w:val="99"/>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65">
    <w:name w:val="xl123"/>
    <w:basedOn w:val="1"/>
    <w:qFormat/>
    <w:uiPriority w:val="99"/>
    <w:pPr>
      <w:widowControl/>
      <w:pBdr>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66">
    <w:name w:val="xl124"/>
    <w:basedOn w:val="1"/>
    <w:qFormat/>
    <w:uiPriority w:val="99"/>
    <w:pPr>
      <w:widowControl/>
      <w:pBdr>
        <w:top w:val="single" w:color="000000" w:sz="4" w:space="0"/>
        <w:left w:val="single" w:color="000000" w:sz="4" w:space="0"/>
        <w:right w:val="single" w:color="000000"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67">
    <w:name w:val="xl125"/>
    <w:basedOn w:val="1"/>
    <w:qFormat/>
    <w:uiPriority w:val="99"/>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68">
    <w:name w:val="xl126"/>
    <w:basedOn w:val="1"/>
    <w:qFormat/>
    <w:uiPriority w:val="99"/>
    <w:pPr>
      <w:widowControl/>
      <w:spacing w:before="100" w:beforeAutospacing="1" w:after="100" w:afterAutospacing="1"/>
      <w:jc w:val="center"/>
      <w:textAlignment w:val="center"/>
    </w:pPr>
    <w:rPr>
      <w:rFonts w:ascii="黑体" w:hAnsi="黑体" w:eastAsia="黑体" w:cs="宋体"/>
      <w:b/>
      <w:bCs/>
      <w:kern w:val="0"/>
      <w:sz w:val="32"/>
      <w:szCs w:val="32"/>
    </w:rPr>
  </w:style>
  <w:style w:type="paragraph" w:customStyle="1" w:styleId="69">
    <w:name w:val="xl6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70">
    <w:name w:val="xl6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71">
    <w:name w:val="xl68"/>
    <w:basedOn w:val="1"/>
    <w:qFormat/>
    <w:uiPriority w:val="99"/>
    <w:pPr>
      <w:widowControl/>
      <w:pBdr>
        <w:top w:val="single" w:color="auto" w:sz="4" w:space="0"/>
        <w:left w:val="single" w:color="auto" w:sz="4" w:space="0"/>
        <w:bottom w:val="single" w:color="auto" w:sz="4" w:space="0"/>
        <w:right w:val="single" w:color="auto" w:sz="4" w:space="0"/>
      </w:pBdr>
      <w:shd w:val="clear" w:color="auto" w:fill="99CC00"/>
      <w:spacing w:before="100" w:beforeAutospacing="1" w:after="100" w:afterAutospacing="1"/>
      <w:jc w:val="left"/>
    </w:pPr>
    <w:rPr>
      <w:rFonts w:ascii="宋体" w:hAnsi="宋体" w:cs="宋体"/>
      <w:kern w:val="0"/>
      <w:sz w:val="24"/>
    </w:rPr>
  </w:style>
  <w:style w:type="paragraph" w:customStyle="1" w:styleId="72">
    <w:name w:val="xl69"/>
    <w:basedOn w:val="1"/>
    <w:qFormat/>
    <w:uiPriority w:val="99"/>
    <w:pPr>
      <w:widowControl/>
      <w:pBdr>
        <w:top w:val="single" w:color="auto" w:sz="4" w:space="0"/>
        <w:left w:val="single" w:color="auto" w:sz="4" w:space="0"/>
        <w:bottom w:val="single" w:color="auto" w:sz="4" w:space="0"/>
        <w:right w:val="single" w:color="auto" w:sz="4" w:space="0"/>
      </w:pBdr>
      <w:shd w:val="clear" w:color="auto" w:fill="99CC00"/>
      <w:spacing w:before="100" w:beforeAutospacing="1" w:after="100" w:afterAutospacing="1"/>
      <w:jc w:val="left"/>
      <w:textAlignment w:val="top"/>
    </w:pPr>
    <w:rPr>
      <w:rFonts w:ascii="宋体" w:hAnsi="宋体" w:cs="宋体"/>
      <w:kern w:val="0"/>
      <w:sz w:val="18"/>
      <w:szCs w:val="18"/>
    </w:rPr>
  </w:style>
  <w:style w:type="paragraph" w:customStyle="1" w:styleId="73">
    <w:name w:val="xl70"/>
    <w:basedOn w:val="1"/>
    <w:qFormat/>
    <w:uiPriority w:val="99"/>
    <w:pPr>
      <w:widowControl/>
      <w:pBdr>
        <w:top w:val="single" w:color="auto" w:sz="4" w:space="0"/>
        <w:left w:val="single" w:color="auto" w:sz="4" w:space="0"/>
        <w:bottom w:val="single" w:color="auto" w:sz="4" w:space="0"/>
        <w:right w:val="single" w:color="auto" w:sz="4" w:space="0"/>
      </w:pBdr>
      <w:shd w:val="clear" w:color="auto" w:fill="99CC00"/>
      <w:spacing w:before="100" w:beforeAutospacing="1" w:after="100" w:afterAutospacing="1"/>
      <w:jc w:val="left"/>
    </w:pPr>
    <w:rPr>
      <w:rFonts w:ascii="宋体" w:hAnsi="宋体" w:cs="宋体"/>
      <w:kern w:val="0"/>
      <w:sz w:val="18"/>
      <w:szCs w:val="18"/>
    </w:rPr>
  </w:style>
  <w:style w:type="paragraph" w:customStyle="1" w:styleId="74">
    <w:name w:val="xl71"/>
    <w:basedOn w:val="1"/>
    <w:qFormat/>
    <w:uiPriority w:val="99"/>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cs="宋体"/>
      <w:kern w:val="0"/>
      <w:sz w:val="24"/>
    </w:rPr>
  </w:style>
  <w:style w:type="paragraph" w:customStyle="1" w:styleId="75">
    <w:name w:val="xl72"/>
    <w:basedOn w:val="1"/>
    <w:qFormat/>
    <w:uiPriority w:val="99"/>
    <w:pPr>
      <w:widowControl/>
      <w:pBdr>
        <w:top w:val="single" w:color="auto" w:sz="4" w:space="0"/>
        <w:left w:val="single" w:color="auto" w:sz="4" w:space="20"/>
        <w:bottom w:val="single" w:color="auto" w:sz="4" w:space="0"/>
        <w:right w:val="single" w:color="auto" w:sz="4" w:space="0"/>
      </w:pBdr>
      <w:shd w:val="clear" w:color="auto" w:fill="FFFF00"/>
      <w:spacing w:before="100" w:beforeAutospacing="1" w:after="100" w:afterAutospacing="1"/>
      <w:ind w:firstLine="100" w:firstLineChars="100"/>
      <w:jc w:val="left"/>
      <w:textAlignment w:val="top"/>
    </w:pPr>
    <w:rPr>
      <w:rFonts w:ascii="宋体" w:hAnsi="宋体" w:cs="宋体"/>
      <w:kern w:val="0"/>
      <w:sz w:val="18"/>
      <w:szCs w:val="18"/>
    </w:rPr>
  </w:style>
  <w:style w:type="paragraph" w:customStyle="1" w:styleId="76">
    <w:name w:val="xl73"/>
    <w:basedOn w:val="1"/>
    <w:qFormat/>
    <w:uiPriority w:val="99"/>
    <w:pPr>
      <w:widowControl/>
      <w:pBdr>
        <w:top w:val="single" w:color="auto" w:sz="4" w:space="0"/>
        <w:left w:val="single" w:color="auto" w:sz="4" w:space="20"/>
        <w:bottom w:val="single" w:color="auto" w:sz="4" w:space="0"/>
        <w:right w:val="single" w:color="auto" w:sz="4" w:space="0"/>
      </w:pBdr>
      <w:shd w:val="clear" w:color="auto" w:fill="FFFF00"/>
      <w:spacing w:before="100" w:beforeAutospacing="1" w:after="100" w:afterAutospacing="1"/>
      <w:ind w:firstLine="100" w:firstLineChars="100"/>
      <w:jc w:val="left"/>
    </w:pPr>
    <w:rPr>
      <w:rFonts w:ascii="宋体" w:hAnsi="宋体" w:cs="宋体"/>
      <w:kern w:val="0"/>
      <w:sz w:val="18"/>
      <w:szCs w:val="18"/>
    </w:rPr>
  </w:style>
  <w:style w:type="paragraph" w:customStyle="1" w:styleId="77">
    <w:name w:val="xl74"/>
    <w:basedOn w:val="1"/>
    <w:qFormat/>
    <w:uiPriority w:val="99"/>
    <w:pPr>
      <w:widowControl/>
      <w:pBdr>
        <w:top w:val="single" w:color="auto" w:sz="4" w:space="0"/>
        <w:left w:val="single" w:color="auto" w:sz="4" w:space="31"/>
        <w:bottom w:val="single" w:color="auto" w:sz="4" w:space="0"/>
        <w:right w:val="single" w:color="auto" w:sz="4" w:space="0"/>
      </w:pBdr>
      <w:spacing w:before="100" w:beforeAutospacing="1" w:after="100" w:afterAutospacing="1"/>
      <w:ind w:firstLine="200" w:firstLineChars="200"/>
      <w:jc w:val="left"/>
      <w:textAlignment w:val="top"/>
    </w:pPr>
    <w:rPr>
      <w:rFonts w:ascii="宋体" w:hAnsi="宋体" w:cs="宋体"/>
      <w:kern w:val="0"/>
      <w:sz w:val="18"/>
      <w:szCs w:val="18"/>
    </w:rPr>
  </w:style>
  <w:style w:type="paragraph" w:customStyle="1" w:styleId="78">
    <w:name w:val="xl75"/>
    <w:basedOn w:val="1"/>
    <w:qFormat/>
    <w:uiPriority w:val="99"/>
    <w:pPr>
      <w:widowControl/>
      <w:pBdr>
        <w:top w:val="single" w:color="auto" w:sz="4" w:space="0"/>
        <w:left w:val="single" w:color="auto" w:sz="4" w:space="31"/>
        <w:bottom w:val="single" w:color="auto" w:sz="4" w:space="0"/>
        <w:right w:val="single" w:color="auto" w:sz="4" w:space="0"/>
      </w:pBdr>
      <w:spacing w:before="100" w:beforeAutospacing="1" w:after="100" w:afterAutospacing="1"/>
      <w:ind w:firstLine="200" w:firstLineChars="200"/>
      <w:jc w:val="left"/>
    </w:pPr>
    <w:rPr>
      <w:rFonts w:ascii="宋体" w:hAnsi="宋体" w:cs="宋体"/>
      <w:kern w:val="0"/>
      <w:sz w:val="18"/>
      <w:szCs w:val="18"/>
    </w:rPr>
  </w:style>
  <w:style w:type="paragraph" w:customStyle="1" w:styleId="79">
    <w:name w:val="TOC 标题1"/>
    <w:basedOn w:val="2"/>
    <w:next w:val="1"/>
    <w:qFormat/>
    <w:uiPriority w:val="99"/>
    <w:pPr>
      <w:widowControl/>
      <w:spacing w:before="480" w:after="0" w:line="276" w:lineRule="auto"/>
      <w:jc w:val="left"/>
      <w:outlineLvl w:val="9"/>
    </w:pPr>
    <w:rPr>
      <w:rFonts w:ascii="Cambria" w:hAnsi="Cambria"/>
      <w:color w:val="365F91"/>
      <w:kern w:val="0"/>
      <w:sz w:val="28"/>
      <w:szCs w:val="28"/>
    </w:rPr>
  </w:style>
  <w:style w:type="paragraph" w:customStyle="1" w:styleId="80">
    <w:name w:val="TOC 标题2"/>
    <w:basedOn w:val="2"/>
    <w:next w:val="1"/>
    <w:qFormat/>
    <w:uiPriority w:val="99"/>
    <w:pPr>
      <w:widowControl/>
      <w:spacing w:before="480" w:after="0" w:line="276" w:lineRule="auto"/>
      <w:jc w:val="left"/>
      <w:outlineLvl w:val="9"/>
    </w:pPr>
    <w:rPr>
      <w:rFonts w:ascii="Cambria" w:hAnsi="Cambria"/>
      <w:color w:val="365F91"/>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2009</Words>
  <Characters>11453</Characters>
  <Lines>95</Lines>
  <Paragraphs>26</Paragraphs>
  <TotalTime>415</TotalTime>
  <ScaleCrop>false</ScaleCrop>
  <LinksUpToDate>false</LinksUpToDate>
  <CharactersWithSpaces>13436</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2020-12-26T03:03:00Z</dcterms:created>
  <dc:creator>Administrator</dc:creator>
  <cp:lastModifiedBy>czlg</cp:lastModifiedBy>
  <cp:lastPrinted>2020-12-30T01:18:00Z</cp:lastPrinted>
  <dcterms:modified xsi:type="dcterms:W3CDTF">2025-08-04T16:10:55Z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