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ind w:left="0" w:firstLine="0"/>
        <w:rPr>
          <w:rFonts w:ascii="Times New Roman"/>
          <w:sz w:val="20"/>
        </w:rPr>
      </w:pPr>
    </w:p>
    <w:p>
      <w:pPr>
        <w:spacing w:before="216"/>
        <w:ind w:left="1339" w:right="1340" w:firstLine="0"/>
        <w:jc w:val="center"/>
        <w:rPr>
          <w:sz w:val="44"/>
        </w:rPr>
      </w:pPr>
      <w:r>
        <w:rPr>
          <w:rFonts w:ascii="Times New Roman" w:eastAsia="Times New Roman"/>
          <w:sz w:val="44"/>
        </w:rPr>
        <w:t xml:space="preserve">2021 </w:t>
      </w:r>
      <w:r>
        <w:rPr>
          <w:sz w:val="44"/>
        </w:rPr>
        <w:t>年</w:t>
      </w:r>
      <w:r>
        <w:rPr>
          <w:rFonts w:hint="eastAsia"/>
          <w:sz w:val="44"/>
          <w:lang w:val="en-US" w:eastAsia="zh-CN"/>
        </w:rPr>
        <w:t>沧州临港经济技术开发区</w:t>
      </w:r>
      <w:r>
        <w:rPr>
          <w:sz w:val="44"/>
        </w:rPr>
        <w:t>政府预算公开目录</w:t>
      </w:r>
    </w:p>
    <w:p>
      <w:pPr>
        <w:pStyle w:val="2"/>
        <w:spacing w:before="10"/>
        <w:ind w:left="0" w:firstLine="0"/>
        <w:rPr>
          <w:sz w:val="55"/>
        </w:rPr>
      </w:pPr>
    </w:p>
    <w:p>
      <w:pPr>
        <w:pStyle w:val="2"/>
        <w:spacing w:before="0"/>
        <w:ind w:left="120" w:firstLine="0"/>
        <w:rPr>
          <w:sz w:val="36"/>
          <w:szCs w:val="36"/>
        </w:rPr>
      </w:pPr>
      <w:r>
        <w:rPr>
          <w:rFonts w:hint="eastAsia" w:ascii="黑体" w:eastAsia="黑体"/>
          <w:spacing w:val="-14"/>
          <w:sz w:val="36"/>
          <w:szCs w:val="36"/>
        </w:rPr>
        <w:t>一、关于</w:t>
      </w:r>
      <w:r>
        <w:rPr>
          <w:rFonts w:hint="eastAsia" w:ascii="黑体" w:eastAsia="黑体"/>
          <w:spacing w:val="-14"/>
          <w:sz w:val="36"/>
          <w:szCs w:val="36"/>
          <w:lang w:val="en-US" w:eastAsia="zh-CN"/>
        </w:rPr>
        <w:t>临港开发区</w:t>
      </w:r>
      <w:r>
        <w:rPr>
          <w:rFonts w:hint="eastAsia" w:ascii="黑体" w:eastAsia="黑体"/>
          <w:spacing w:val="-14"/>
          <w:sz w:val="36"/>
          <w:szCs w:val="36"/>
        </w:rPr>
        <w:t xml:space="preserve"> </w:t>
      </w:r>
      <w:r>
        <w:rPr>
          <w:rFonts w:ascii="Times New Roman" w:eastAsia="Times New Roman"/>
          <w:sz w:val="36"/>
          <w:szCs w:val="36"/>
        </w:rPr>
        <w:t xml:space="preserve">2020 </w:t>
      </w:r>
      <w:r>
        <w:rPr>
          <w:rFonts w:hint="eastAsia" w:ascii="黑体" w:eastAsia="黑体"/>
          <w:spacing w:val="-9"/>
          <w:sz w:val="36"/>
          <w:szCs w:val="36"/>
        </w:rPr>
        <w:t xml:space="preserve">年预算执行情况和 </w:t>
      </w:r>
      <w:r>
        <w:rPr>
          <w:rFonts w:ascii="Times New Roman" w:eastAsia="Times New Roman"/>
          <w:sz w:val="36"/>
          <w:szCs w:val="36"/>
        </w:rPr>
        <w:t xml:space="preserve">2021 </w:t>
      </w:r>
      <w:r>
        <w:rPr>
          <w:rFonts w:hint="eastAsia" w:ascii="黑体" w:eastAsia="黑体"/>
          <w:sz w:val="36"/>
          <w:szCs w:val="36"/>
        </w:rPr>
        <w:t>年预算草案的报告及报表</w:t>
      </w:r>
    </w:p>
    <w:p>
      <w:pPr>
        <w:pStyle w:val="2"/>
        <w:spacing w:before="3"/>
        <w:ind w:left="120" w:firstLine="0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二、</w:t>
      </w:r>
      <w:r>
        <w:rPr>
          <w:rFonts w:ascii="Times New Roman" w:eastAsia="Times New Roman"/>
          <w:sz w:val="36"/>
          <w:szCs w:val="36"/>
        </w:rPr>
        <w:t xml:space="preserve">2021 </w:t>
      </w:r>
      <w:r>
        <w:rPr>
          <w:rFonts w:hint="eastAsia" w:ascii="黑体" w:eastAsia="黑体"/>
          <w:sz w:val="36"/>
          <w:szCs w:val="36"/>
        </w:rPr>
        <w:t>年</w:t>
      </w:r>
      <w:r>
        <w:rPr>
          <w:rFonts w:hint="eastAsia" w:ascii="黑体" w:eastAsia="黑体"/>
          <w:sz w:val="36"/>
          <w:szCs w:val="36"/>
          <w:lang w:val="en-US" w:eastAsia="zh-CN"/>
        </w:rPr>
        <w:t>临港开发区</w:t>
      </w:r>
      <w:r>
        <w:rPr>
          <w:rFonts w:hint="eastAsia" w:ascii="黑体" w:eastAsia="黑体"/>
          <w:sz w:val="36"/>
          <w:szCs w:val="36"/>
        </w:rPr>
        <w:t>政府预算</w:t>
      </w:r>
      <w:r>
        <w:rPr>
          <w:rFonts w:hint="eastAsia" w:ascii="黑体" w:eastAsia="黑体"/>
          <w:b w:val="0"/>
          <w:bCs w:val="0"/>
          <w:sz w:val="36"/>
          <w:szCs w:val="36"/>
        </w:rPr>
        <w:t>公开表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2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一般公共预算</w:t>
      </w:r>
      <w:r>
        <w:rPr>
          <w:rFonts w:hint="eastAsia"/>
          <w:b w:val="0"/>
          <w:bCs w:val="0"/>
          <w:w w:val="95"/>
          <w:sz w:val="32"/>
          <w:lang w:val="en-US" w:eastAsia="zh-CN"/>
        </w:rPr>
        <w:t>平衡</w:t>
      </w:r>
      <w:r>
        <w:rPr>
          <w:b w:val="0"/>
          <w:bCs w:val="0"/>
          <w:w w:val="95"/>
          <w:sz w:val="32"/>
        </w:rPr>
        <w:t>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2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一般公共预算</w:t>
      </w:r>
      <w:r>
        <w:rPr>
          <w:b w:val="0"/>
          <w:bCs w:val="0"/>
          <w:w w:val="95"/>
          <w:sz w:val="32"/>
        </w:rPr>
        <w:t>收入表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68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一般公共预算支出表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一般公共预算支出功能分类表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一般公共预算基本支出经济分类表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68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税收返还</w:t>
      </w:r>
      <w:r>
        <w:rPr>
          <w:rFonts w:ascii="Times New Roman" w:eastAsia="Times New Roman"/>
          <w:w w:val="95"/>
          <w:sz w:val="32"/>
        </w:rPr>
        <w:t>.</w:t>
      </w:r>
      <w:r>
        <w:rPr>
          <w:w w:val="95"/>
          <w:sz w:val="32"/>
        </w:rPr>
        <w:t>一般性转移支付分地区安排情况表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一般公共预算专项转移支付分地区安排情况表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68" w:after="0" w:line="240" w:lineRule="auto"/>
        <w:ind w:left="362" w:right="0" w:hanging="243"/>
        <w:jc w:val="left"/>
        <w:rPr>
          <w:sz w:val="32"/>
        </w:rPr>
      </w:pPr>
      <w:r>
        <w:rPr>
          <w:w w:val="95"/>
          <w:sz w:val="32"/>
        </w:rPr>
        <w:t>一般公共预算专项转移支付分项目安排情况表</w:t>
      </w:r>
    </w:p>
    <w:p>
      <w:pPr>
        <w:pStyle w:val="6"/>
        <w:numPr>
          <w:ilvl w:val="0"/>
          <w:numId w:val="1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政府性基金预算收入表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sz w:val="32"/>
        </w:rPr>
        <w:t>政府性基金预算支出表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政府性基金预算专项转移支付分项目安排情况表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政府性基金预算专项转移支付分地区安排情况表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69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国有资本经营预算收入表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国有资本经营预算支出表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68" w:after="0" w:line="240" w:lineRule="auto"/>
        <w:ind w:left="522" w:right="0" w:hanging="403"/>
        <w:jc w:val="left"/>
        <w:rPr>
          <w:sz w:val="32"/>
        </w:rPr>
      </w:pPr>
      <w:r>
        <w:rPr>
          <w:sz w:val="32"/>
        </w:rPr>
        <w:t>国有资本经营预算专项转移支付分项目安排情况表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1910" w:h="16840"/>
          <w:pgMar w:top="1580" w:right="1680" w:bottom="280" w:left="1680" w:header="720" w:footer="720" w:gutter="0"/>
          <w:cols w:space="720" w:num="1"/>
        </w:sectPr>
      </w:pPr>
    </w:p>
    <w:p>
      <w:pPr>
        <w:pStyle w:val="6"/>
        <w:numPr>
          <w:ilvl w:val="0"/>
          <w:numId w:val="1"/>
        </w:numPr>
        <w:tabs>
          <w:tab w:val="left" w:pos="523"/>
        </w:tabs>
        <w:spacing w:before="45" w:after="0" w:line="240" w:lineRule="auto"/>
        <w:ind w:left="522" w:right="0" w:hanging="403"/>
        <w:jc w:val="left"/>
        <w:rPr>
          <w:sz w:val="32"/>
        </w:rPr>
      </w:pPr>
      <w:r>
        <w:rPr>
          <w:sz w:val="32"/>
        </w:rPr>
        <w:t>国有资本经营预算专项转移支付分地区安排情况表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社会保险基金预算</w:t>
      </w:r>
      <w:r>
        <w:rPr>
          <w:rFonts w:hint="eastAsia"/>
          <w:w w:val="95"/>
          <w:sz w:val="32"/>
          <w:lang w:val="en-US" w:eastAsia="zh-CN"/>
        </w:rPr>
        <w:t>平衡</w:t>
      </w:r>
      <w:r>
        <w:rPr>
          <w:w w:val="95"/>
          <w:sz w:val="32"/>
        </w:rPr>
        <w:t>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71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社会保险基金预算收入表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68" w:after="0" w:line="240" w:lineRule="auto"/>
        <w:ind w:left="522" w:right="0" w:hanging="403"/>
        <w:jc w:val="left"/>
        <w:rPr>
          <w:sz w:val="32"/>
        </w:rPr>
      </w:pPr>
      <w:r>
        <w:rPr>
          <w:w w:val="95"/>
          <w:sz w:val="32"/>
        </w:rPr>
        <w:t>社会保险基金预算支出表</w:t>
      </w:r>
    </w:p>
    <w:p>
      <w:pPr>
        <w:pStyle w:val="6"/>
        <w:numPr>
          <w:ilvl w:val="0"/>
          <w:numId w:val="1"/>
        </w:numPr>
        <w:tabs>
          <w:tab w:val="left" w:pos="523"/>
        </w:tabs>
        <w:spacing w:before="168" w:after="0" w:line="240" w:lineRule="auto"/>
        <w:ind w:left="522" w:right="0" w:hanging="403"/>
        <w:jc w:val="left"/>
        <w:rPr>
          <w:sz w:val="32"/>
        </w:rPr>
      </w:pPr>
      <w:r>
        <w:rPr>
          <w:rFonts w:hint="eastAsia"/>
          <w:w w:val="95"/>
          <w:sz w:val="32"/>
          <w:lang w:val="en-US" w:eastAsia="zh-CN"/>
        </w:rPr>
        <w:t>三公经费表</w:t>
      </w:r>
    </w:p>
    <w:p>
      <w:pPr>
        <w:pStyle w:val="2"/>
        <w:ind w:left="120" w:firstLine="0"/>
      </w:pPr>
      <w:r>
        <w:rPr>
          <w:rFonts w:ascii="Times New Roman" w:eastAsia="Times New Roman"/>
        </w:rPr>
        <w:t xml:space="preserve">21.2020 </w:t>
      </w:r>
      <w:r>
        <w:t>年地方政府债务限额及余额预算情况表</w:t>
      </w:r>
    </w:p>
    <w:p>
      <w:pPr>
        <w:pStyle w:val="2"/>
        <w:ind w:left="120" w:firstLine="0"/>
      </w:pPr>
      <w:r>
        <w:rPr>
          <w:rFonts w:ascii="Times New Roman" w:eastAsia="Times New Roman"/>
        </w:rPr>
        <w:t>22.2020</w:t>
      </w:r>
      <w:r>
        <w:rPr>
          <w:rFonts w:ascii="Times New Roman" w:eastAsia="Times New Roman"/>
          <w:spacing w:val="-4"/>
        </w:rPr>
        <w:t xml:space="preserve"> </w:t>
      </w:r>
      <w:r>
        <w:t>年地方政府一般债务余额情况表</w:t>
      </w:r>
    </w:p>
    <w:p>
      <w:pPr>
        <w:pStyle w:val="2"/>
        <w:spacing w:before="168"/>
        <w:ind w:left="120" w:firstLine="0"/>
      </w:pPr>
      <w:r>
        <w:rPr>
          <w:rFonts w:ascii="Times New Roman" w:eastAsia="Times New Roman"/>
        </w:rPr>
        <w:t>23.2020</w:t>
      </w:r>
      <w:r>
        <w:rPr>
          <w:rFonts w:ascii="Times New Roman" w:eastAsia="Times New Roman"/>
          <w:spacing w:val="-4"/>
        </w:rPr>
        <w:t xml:space="preserve"> </w:t>
      </w:r>
      <w:r>
        <w:t>年地方政府专项债务余额情况表</w:t>
      </w:r>
    </w:p>
    <w:p>
      <w:pPr>
        <w:pStyle w:val="2"/>
        <w:ind w:left="120" w:firstLine="0"/>
      </w:pPr>
      <w:r>
        <w:rPr>
          <w:rFonts w:ascii="Times New Roman" w:eastAsia="Times New Roman"/>
        </w:rPr>
        <w:t>24.</w:t>
      </w:r>
      <w:r>
        <w:t>地方政府债券发行及还本付息情况表</w:t>
      </w:r>
    </w:p>
    <w:p>
      <w:pPr>
        <w:pStyle w:val="2"/>
        <w:ind w:left="120" w:firstLine="0"/>
      </w:pPr>
      <w:r>
        <w:rPr>
          <w:rFonts w:ascii="Times New Roman" w:eastAsia="Times New Roman"/>
        </w:rPr>
        <w:t xml:space="preserve">25.2021 </w:t>
      </w:r>
      <w:r>
        <w:t>年地方政府债务限额提前下达情况表</w:t>
      </w:r>
    </w:p>
    <w:p>
      <w:pPr>
        <w:pStyle w:val="2"/>
        <w:spacing w:before="169"/>
        <w:ind w:left="120" w:firstLine="0"/>
      </w:pPr>
      <w:r>
        <w:rPr>
          <w:rFonts w:ascii="Times New Roman" w:eastAsia="Times New Roman"/>
        </w:rPr>
        <w:t xml:space="preserve">26.2021 </w:t>
      </w:r>
      <w:r>
        <w:t>年新增地方政府债务资金安排表</w:t>
      </w:r>
    </w:p>
    <w:p>
      <w:pPr>
        <w:pStyle w:val="2"/>
        <w:ind w:left="120" w:firstLine="0"/>
      </w:pPr>
      <w:r>
        <w:rPr>
          <w:rFonts w:ascii="Times New Roman" w:eastAsia="Times New Roman"/>
        </w:rPr>
        <w:t xml:space="preserve">27.2021 </w:t>
      </w:r>
      <w:r>
        <w:t>年政府再融资债券分月发行安排表</w:t>
      </w:r>
    </w:p>
    <w:p>
      <w:pPr>
        <w:pStyle w:val="2"/>
        <w:spacing w:before="170"/>
        <w:ind w:left="120" w:firstLine="0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三、</w:t>
      </w:r>
      <w:r>
        <w:rPr>
          <w:rFonts w:ascii="Times New Roman" w:eastAsia="Times New Roman"/>
          <w:sz w:val="36"/>
          <w:szCs w:val="36"/>
        </w:rPr>
        <w:t xml:space="preserve">2021 </w:t>
      </w:r>
      <w:r>
        <w:rPr>
          <w:rFonts w:hint="eastAsia" w:ascii="黑体" w:eastAsia="黑体"/>
          <w:sz w:val="36"/>
          <w:szCs w:val="36"/>
        </w:rPr>
        <w:t>年政府预算公开情况说明</w:t>
      </w:r>
    </w:p>
    <w:p>
      <w:pPr>
        <w:pStyle w:val="6"/>
        <w:numPr>
          <w:ilvl w:val="0"/>
          <w:numId w:val="2"/>
        </w:numPr>
        <w:tabs>
          <w:tab w:val="left" w:pos="363"/>
        </w:tabs>
        <w:spacing w:before="169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财政性资金安排</w:t>
      </w:r>
      <w:r>
        <w:rPr>
          <w:rFonts w:ascii="Times New Roman" w:hAnsi="Times New Roman" w:eastAsia="Times New Roman"/>
          <w:sz w:val="32"/>
        </w:rPr>
        <w:t>“</w:t>
      </w:r>
      <w:r>
        <w:rPr>
          <w:sz w:val="32"/>
        </w:rPr>
        <w:t>三公</w:t>
      </w:r>
      <w:r>
        <w:rPr>
          <w:rFonts w:ascii="Times New Roman" w:hAnsi="Times New Roman" w:eastAsia="Times New Roman"/>
          <w:spacing w:val="-3"/>
          <w:sz w:val="32"/>
        </w:rPr>
        <w:t>”</w:t>
      </w:r>
      <w:r>
        <w:rPr>
          <w:sz w:val="32"/>
        </w:rPr>
        <w:t>经费预算情况</w:t>
      </w:r>
    </w:p>
    <w:p>
      <w:pPr>
        <w:pStyle w:val="6"/>
        <w:numPr>
          <w:ilvl w:val="0"/>
          <w:numId w:val="2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地方政府债券还本付息情况</w:t>
      </w:r>
    </w:p>
    <w:p>
      <w:pPr>
        <w:pStyle w:val="6"/>
        <w:numPr>
          <w:ilvl w:val="0"/>
          <w:numId w:val="2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财政转移支付安排情况</w:t>
      </w:r>
    </w:p>
    <w:p>
      <w:pPr>
        <w:pStyle w:val="6"/>
        <w:numPr>
          <w:ilvl w:val="0"/>
          <w:numId w:val="2"/>
        </w:numPr>
        <w:tabs>
          <w:tab w:val="left" w:pos="363"/>
        </w:tabs>
        <w:spacing w:before="168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预算绩效管理工作开展情况</w:t>
      </w:r>
    </w:p>
    <w:p>
      <w:pPr>
        <w:pStyle w:val="6"/>
        <w:numPr>
          <w:ilvl w:val="0"/>
          <w:numId w:val="2"/>
        </w:numPr>
        <w:tabs>
          <w:tab w:val="left" w:pos="363"/>
        </w:tabs>
        <w:spacing w:before="171" w:after="0" w:line="240" w:lineRule="auto"/>
        <w:ind w:left="362" w:right="0" w:hanging="243"/>
        <w:jc w:val="left"/>
        <w:rPr>
          <w:sz w:val="32"/>
        </w:rPr>
      </w:pPr>
      <w:r>
        <w:rPr>
          <w:sz w:val="32"/>
        </w:rPr>
        <w:t>政府采购情况</w:t>
      </w:r>
      <w:bookmarkStart w:id="0" w:name="_GoBack"/>
      <w:bookmarkEnd w:id="0"/>
    </w:p>
    <w:sectPr>
      <w:pgSz w:w="11910" w:h="16840"/>
      <w:pgMar w:top="152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62" w:hanging="24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8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97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5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34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53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71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90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9" w:hanging="242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62" w:hanging="24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8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97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5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34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53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71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90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9" w:hanging="24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20AA11D8"/>
    <w:rsid w:val="2E5A119B"/>
    <w:rsid w:val="4E5B49BA"/>
    <w:rsid w:val="5F490BDD"/>
    <w:rsid w:val="640722C7"/>
    <w:rsid w:val="6EE503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71"/>
      <w:ind w:left="362" w:hanging="243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71"/>
      <w:ind w:left="362" w:hanging="243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2021-05-11T06:00:00Z</dcterms:created>
  <dc:creator>guest</dc:creator>
  <cp:lastModifiedBy>W.N.</cp:lastModifiedBy>
  <cp:lastPrinted>2021-05-11T08:06:00Z</cp:lastPrinted>
  <dcterms:modified xsi:type="dcterms:W3CDTF">2021-05-12T00:58:04Z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2021-05-11T00:00:00Z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BD5F03E46E82479DB3AE0CB11DBD32CF</vt:lpwstr>
  </property>
</Properties>
</file>