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40" w:firstLineChars="200"/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0"/>
          <w:sz w:val="44"/>
          <w:szCs w:val="44"/>
          <w:lang w:val="en-US" w:eastAsia="zh-CN"/>
        </w:rPr>
        <w:t>关于2021年沧州临港经济技术开发区预算公开有关事项的说明</w:t>
      </w:r>
    </w:p>
    <w:p>
      <w:pPr>
        <w:ind w:firstLine="600" w:firstLineChars="200"/>
        <w:outlineLvl w:val="0"/>
        <w:rPr>
          <w:rFonts w:hint="eastAsia" w:ascii="黑体" w:hAnsi="黑体" w:eastAsia="黑体" w:cs="黑体"/>
          <w:color w:val="000000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-1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  <w:lang w:val="en-US" w:eastAsia="zh-CN"/>
        </w:rPr>
        <w:t>开发区</w:t>
      </w:r>
      <w:r>
        <w:rPr>
          <w:rFonts w:hint="eastAsia" w:ascii="黑体" w:hAnsi="黑体" w:eastAsia="黑体" w:cs="黑体"/>
          <w:color w:val="000000"/>
          <w:spacing w:val="-10"/>
          <w:sz w:val="32"/>
          <w:szCs w:val="32"/>
          <w:lang w:eastAsia="zh-CN"/>
        </w:rPr>
        <w:t>财政性资金安排“三公”经费预算情况</w:t>
      </w:r>
    </w:p>
    <w:p>
      <w:pPr>
        <w:ind w:firstLine="600" w:firstLineChars="200"/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2021年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临港开发区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“三公”经费年初预算安排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178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万元，资金来源全部为一般公共预算，较上年减少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10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万元，同比下降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5.32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%，其中：车辆运行费安排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86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万元、较上年减少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万元；</w:t>
      </w: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车辆购置费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安排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万元、较上年减少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万元、同比下降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28.5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7%；</w:t>
      </w: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公务接待费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安排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42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万元、较上年减少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万元、同比下降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4.55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%；</w:t>
      </w: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因公出国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经</w:t>
      </w: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费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安排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30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万元、较上年减少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/>
          <w:color w:val="000000"/>
          <w:spacing w:val="-10"/>
          <w:sz w:val="32"/>
          <w:szCs w:val="32"/>
          <w:lang w:eastAsia="zh-CN"/>
        </w:rPr>
        <w:t>万元</w:t>
      </w: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。</w:t>
      </w:r>
    </w:p>
    <w:p>
      <w:pPr>
        <w:ind w:firstLine="600" w:firstLineChars="200"/>
        <w:outlineLvl w:val="0"/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</w:pPr>
      <w:r>
        <w:rPr>
          <w:rFonts w:ascii="仿宋_GB2312" w:hAnsi="仿宋" w:eastAsia="仿宋_GB2312"/>
          <w:color w:val="000000"/>
          <w:spacing w:val="-10"/>
          <w:sz w:val="32"/>
          <w:szCs w:val="32"/>
          <w:lang w:eastAsia="zh-CN"/>
        </w:rPr>
        <w:t>具体如下：</w:t>
      </w:r>
    </w:p>
    <w:tbl>
      <w:tblPr>
        <w:tblStyle w:val="3"/>
        <w:tblW w:w="8040" w:type="dxa"/>
        <w:tblInd w:w="325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437"/>
        <w:gridCol w:w="1040"/>
        <w:gridCol w:w="992"/>
        <w:gridCol w:w="1361"/>
        <w:gridCol w:w="984"/>
        <w:gridCol w:w="970"/>
        <w:gridCol w:w="229"/>
        <w:gridCol w:w="1027"/>
      </w:tblGrid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8040" w:type="dxa"/>
            <w:gridSpan w:val="8"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</w:rPr>
              <w:t>2021年</w:t>
            </w: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  <w:lang w:val="en-US" w:eastAsia="zh-CN"/>
              </w:rPr>
              <w:t>临港开发区</w:t>
            </w: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</w:rPr>
              <w:t>“三公经费”预算</w:t>
            </w: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  <w:lang w:eastAsia="zh-CN"/>
              </w:rPr>
              <w:t>安排</w:t>
            </w: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</w:rPr>
              <w:t>情况</w:t>
            </w:r>
            <w:r>
              <w:rPr>
                <w:rFonts w:hint="eastAsia" w:ascii="方正小标宋简体" w:hAnsi="Times New Roman" w:eastAsia="方正小标宋简体"/>
                <w:color w:val="000000"/>
                <w:sz w:val="32"/>
                <w:szCs w:val="32"/>
                <w:lang w:eastAsia="zh-CN"/>
              </w:rPr>
              <w:t>表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437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4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61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84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70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单位：万元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项目</w:t>
            </w:r>
          </w:p>
        </w:tc>
        <w:tc>
          <w:tcPr>
            <w:tcW w:w="1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2021</w:t>
            </w:r>
            <w:r>
              <w:rPr>
                <w:rFonts w:ascii="仿宋" w:hAnsi="仿宋" w:eastAsia="仿宋" w:cs="宋体"/>
                <w:color w:val="000000"/>
                <w:sz w:val="22"/>
              </w:rPr>
              <w:t>年预算安排</w:t>
            </w: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情况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2020</w:t>
            </w:r>
            <w:r>
              <w:rPr>
                <w:rFonts w:ascii="仿宋" w:hAnsi="仿宋" w:eastAsia="仿宋" w:cs="宋体"/>
                <w:color w:val="000000"/>
                <w:sz w:val="22"/>
              </w:rPr>
              <w:t>年预算安排情况</w:t>
            </w:r>
          </w:p>
        </w:tc>
        <w:tc>
          <w:tcPr>
            <w:tcW w:w="13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同比下降</w:t>
            </w:r>
          </w:p>
        </w:tc>
        <w:tc>
          <w:tcPr>
            <w:tcW w:w="32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资金来源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一般</w:t>
            </w: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公共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预算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政府性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基金预算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财政专户</w:t>
            </w: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车辆运行费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86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86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%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86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车辆购置费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20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28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28.57</w:t>
            </w: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%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20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公务接待费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42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44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4.55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%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42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因公出国经费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30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30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%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30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75" w:hRule="atLeast"/>
        </w:trPr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合计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178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188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5.32</w:t>
            </w:r>
            <w:r>
              <w:rPr>
                <w:rFonts w:hint="eastAsia" w:ascii="仿宋" w:hAnsi="仿宋" w:eastAsia="仿宋" w:cs="宋体"/>
                <w:color w:val="000000"/>
                <w:sz w:val="22"/>
              </w:rPr>
              <w:t>%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仿宋" w:hAnsi="仿宋" w:eastAsia="仿宋" w:cs="宋体"/>
                <w:color w:val="000000"/>
                <w:sz w:val="22"/>
                <w:szCs w:val="24"/>
                <w:lang w:val="en-US" w:eastAsia="zh-CN" w:bidi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178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</w:tbl>
    <w:p>
      <w:pPr>
        <w:numPr>
          <w:ilvl w:val="0"/>
          <w:numId w:val="0"/>
        </w:numPr>
        <w:snapToGrid w:val="0"/>
        <w:spacing w:line="360" w:lineRule="auto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临港开发区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地方政府债券还本付息情况</w:t>
      </w:r>
    </w:p>
    <w:p>
      <w:pPr>
        <w:snapToGrid w:val="0"/>
        <w:spacing w:line="360" w:lineRule="auto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ascii="仿宋_GB2312" w:eastAsia="仿宋_GB2312"/>
          <w:color w:val="000000"/>
          <w:sz w:val="32"/>
          <w:szCs w:val="32"/>
          <w:lang w:eastAsia="zh-CN"/>
        </w:rPr>
        <w:t>2020年末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，沧州渤海新区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政府债务限额为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114000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万元，其中：专项债务限额为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114000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；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2020年末政府债务余额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114000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万元，其中：专项债券余额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114000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，均控制在政府债务限额以内。</w:t>
      </w:r>
    </w:p>
    <w:p>
      <w:pPr>
        <w:snapToGrid w:val="0"/>
        <w:spacing w:line="360" w:lineRule="auto"/>
        <w:ind w:firstLine="640" w:firstLineChars="200"/>
        <w:rPr>
          <w:rFonts w:ascii="仿宋_GB2312" w:eastAsia="仿宋_GB2312"/>
          <w:color w:val="000000"/>
          <w:sz w:val="32"/>
          <w:szCs w:val="32"/>
          <w:lang w:eastAsia="zh-CN"/>
        </w:rPr>
      </w:pPr>
      <w:r>
        <w:rPr>
          <w:rFonts w:ascii="仿宋_GB2312" w:eastAsia="仿宋_GB2312"/>
          <w:color w:val="000000"/>
          <w:sz w:val="32"/>
          <w:szCs w:val="32"/>
          <w:lang w:eastAsia="zh-CN"/>
        </w:rPr>
        <w:t>2021年度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，政府债券还本付息年初预算安排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4500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万元，其中政府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债券还本支出安排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政府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债券利息支出安排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4500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万元，政府性基金支出安排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4500</w:t>
      </w:r>
      <w:r>
        <w:rPr>
          <w:rFonts w:ascii="仿宋_GB2312" w:eastAsia="仿宋_GB2312"/>
          <w:color w:val="000000"/>
          <w:sz w:val="32"/>
          <w:szCs w:val="32"/>
          <w:lang w:eastAsia="zh-CN"/>
        </w:rPr>
        <w:t>万元。</w:t>
      </w:r>
    </w:p>
    <w:p>
      <w:pPr>
        <w:ind w:firstLine="61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按照我区制定的地方政府隐性债务化解方案，2021年度安排政府隐性债务化解专项资金4300万元，至此我区隐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性</w:t>
      </w:r>
      <w:r>
        <w:rPr>
          <w:rFonts w:hint="eastAsia" w:ascii="仿宋_GB2312" w:eastAsia="仿宋_GB2312"/>
          <w:sz w:val="32"/>
          <w:szCs w:val="32"/>
        </w:rPr>
        <w:t>债务于2021年全部化解完毕。</w:t>
      </w:r>
    </w:p>
    <w:p>
      <w:pPr>
        <w:spacing w:beforeLines="30"/>
        <w:jc w:val="right"/>
        <w:rPr>
          <w:rFonts w:hint="eastAsia" w:ascii="方正小标宋简体" w:hAnsi="宋体" w:eastAsia="方正小标宋简体" w:cs="宋体"/>
          <w:bCs/>
          <w:sz w:val="36"/>
          <w:szCs w:val="36"/>
        </w:rPr>
      </w:pPr>
    </w:p>
    <w:p>
      <w:pPr>
        <w:spacing w:beforeLines="30"/>
        <w:jc w:val="center"/>
        <w:rPr>
          <w:rFonts w:hint="eastAsia"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1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临港开发区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偿还政府债务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预算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情况表</w:t>
      </w:r>
    </w:p>
    <w:p>
      <w:pPr>
        <w:spacing w:beforeLines="30"/>
        <w:jc w:val="right"/>
        <w:rPr>
          <w:rFonts w:ascii="宋体" w:hAnsi="宋体"/>
        </w:rPr>
      </w:pPr>
      <w:r>
        <w:rPr>
          <w:rFonts w:hint="eastAsia" w:ascii="宋体" w:hAnsi="宋体"/>
        </w:rPr>
        <w:t>单位：万元</w:t>
      </w:r>
    </w:p>
    <w:tbl>
      <w:tblPr>
        <w:tblStyle w:val="3"/>
        <w:tblW w:w="8355" w:type="dxa"/>
        <w:tblInd w:w="10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3"/>
        <w:gridCol w:w="1665"/>
        <w:gridCol w:w="1667"/>
        <w:gridCol w:w="11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7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债务项目</w:t>
            </w:r>
          </w:p>
        </w:tc>
        <w:tc>
          <w:tcPr>
            <w:tcW w:w="3332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偿债来源</w:t>
            </w:r>
          </w:p>
        </w:tc>
        <w:tc>
          <w:tcPr>
            <w:tcW w:w="1150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合计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73" w:type="dxa"/>
            <w:vMerge w:val="continue"/>
            <w:vAlign w:val="center"/>
          </w:tcPr>
          <w:p>
            <w:pPr>
              <w:widowControl w:val="0"/>
              <w:rPr>
                <w:rFonts w:hint="eastAsia" w:ascii="宋体" w:hAnsi="宋体"/>
                <w:b/>
                <w:bCs/>
                <w:kern w:val="2"/>
              </w:rPr>
            </w:pPr>
          </w:p>
        </w:tc>
        <w:tc>
          <w:tcPr>
            <w:tcW w:w="166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一般预算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政府基金</w:t>
            </w:r>
          </w:p>
        </w:tc>
        <w:tc>
          <w:tcPr>
            <w:tcW w:w="1150" w:type="dxa"/>
            <w:vMerge w:val="continue"/>
            <w:vAlign w:val="center"/>
          </w:tcPr>
          <w:p>
            <w:pPr>
              <w:widowControl w:val="0"/>
              <w:rPr>
                <w:rFonts w:hint="eastAsia" w:ascii="宋体" w:hAnsi="宋体"/>
                <w:b/>
                <w:bCs/>
                <w:kern w:val="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73" w:type="dxa"/>
            <w:vMerge w:val="continue"/>
            <w:vAlign w:val="center"/>
          </w:tcPr>
          <w:p>
            <w:pPr>
              <w:widowControl w:val="0"/>
              <w:rPr>
                <w:rFonts w:hint="eastAsia" w:ascii="宋体" w:hAnsi="宋体"/>
                <w:b/>
                <w:bCs/>
                <w:kern w:val="2"/>
              </w:rPr>
            </w:pPr>
          </w:p>
        </w:tc>
        <w:tc>
          <w:tcPr>
            <w:tcW w:w="166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一般本息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/>
                <w:b/>
                <w:bCs/>
                <w:kern w:val="2"/>
              </w:rPr>
            </w:pPr>
            <w:r>
              <w:rPr>
                <w:rFonts w:hint="eastAsia" w:ascii="宋体" w:hAnsi="宋体"/>
                <w:b/>
                <w:bCs/>
                <w:kern w:val="2"/>
              </w:rPr>
              <w:t>专项本息</w:t>
            </w:r>
          </w:p>
        </w:tc>
        <w:tc>
          <w:tcPr>
            <w:tcW w:w="1150" w:type="dxa"/>
            <w:vMerge w:val="continue"/>
            <w:vAlign w:val="center"/>
          </w:tcPr>
          <w:p>
            <w:pPr>
              <w:widowControl w:val="0"/>
              <w:rPr>
                <w:rFonts w:hint="eastAsia" w:ascii="宋体" w:hAnsi="宋体"/>
                <w:b/>
                <w:bCs/>
                <w:kern w:val="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7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宋体" w:eastAsia="仿宋_GB2312" w:cs="宋体"/>
                <w:kern w:val="2"/>
              </w:rPr>
            </w:pPr>
            <w:r>
              <w:rPr>
                <w:rFonts w:hint="eastAsia" w:ascii="仿宋_GB2312" w:hAnsi="宋体" w:eastAsia="仿宋_GB2312" w:cs="宋体"/>
                <w:kern w:val="2"/>
                <w:lang w:eastAsia="zh-CN"/>
              </w:rPr>
              <w:t>政府隐性债务</w:t>
            </w:r>
            <w:r>
              <w:rPr>
                <w:rFonts w:hint="eastAsia" w:ascii="仿宋_GB2312" w:hAnsi="宋体" w:eastAsia="仿宋_GB2312" w:cs="宋体"/>
                <w:kern w:val="2"/>
              </w:rPr>
              <w:t>化</w:t>
            </w:r>
            <w:r>
              <w:rPr>
                <w:rFonts w:hint="eastAsia" w:ascii="仿宋_GB2312" w:hAnsi="宋体" w:eastAsia="仿宋_GB2312" w:cs="宋体"/>
                <w:kern w:val="2"/>
                <w:lang w:val="en-US" w:eastAsia="zh-CN"/>
              </w:rPr>
              <w:t>解</w:t>
            </w:r>
            <w:r>
              <w:rPr>
                <w:rFonts w:hint="eastAsia" w:ascii="仿宋_GB2312" w:hAnsi="宋体" w:eastAsia="仿宋_GB2312" w:cs="宋体"/>
                <w:kern w:val="2"/>
              </w:rPr>
              <w:t>资金</w:t>
            </w:r>
          </w:p>
        </w:tc>
        <w:tc>
          <w:tcPr>
            <w:tcW w:w="1665" w:type="dxa"/>
            <w:vAlign w:val="center"/>
          </w:tcPr>
          <w:p>
            <w:pPr>
              <w:widowControl w:val="0"/>
              <w:jc w:val="right"/>
              <w:rPr>
                <w:rFonts w:hint="eastAsia" w:ascii="仿宋_GB2312" w:hAnsi="宋体" w:eastAsia="仿宋_GB2312"/>
                <w:kern w:val="2"/>
              </w:rPr>
            </w:pPr>
            <w:r>
              <w:rPr>
                <w:rFonts w:hint="eastAsia" w:ascii="仿宋_GB2312" w:hAnsi="宋体" w:eastAsia="仿宋_GB2312"/>
                <w:kern w:val="2"/>
              </w:rPr>
              <w:t>　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jc w:val="right"/>
              <w:rPr>
                <w:rFonts w:hint="default" w:ascii="仿宋_GB2312" w:hAnsi="宋体" w:eastAsia="仿宋_GB2312"/>
                <w:kern w:val="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2"/>
                <w:lang w:val="en-US" w:eastAsia="zh-CN"/>
              </w:rPr>
              <w:t>4300</w:t>
            </w:r>
          </w:p>
        </w:tc>
        <w:tc>
          <w:tcPr>
            <w:tcW w:w="1150" w:type="dxa"/>
            <w:vAlign w:val="center"/>
          </w:tcPr>
          <w:p>
            <w:pPr>
              <w:widowControl w:val="0"/>
              <w:jc w:val="right"/>
              <w:rPr>
                <w:rFonts w:hint="default" w:ascii="仿宋_GB2312" w:hAnsi="宋体" w:eastAsia="仿宋_GB2312"/>
                <w:kern w:val="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2"/>
                <w:lang w:val="en-US" w:eastAsia="zh-CN"/>
              </w:rPr>
              <w:t>4300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73" w:type="dxa"/>
            <w:vAlign w:val="center"/>
          </w:tcPr>
          <w:p>
            <w:pPr>
              <w:widowControl w:val="0"/>
              <w:jc w:val="center"/>
              <w:rPr>
                <w:rFonts w:hint="eastAsia" w:ascii="仿宋_GB2312" w:hAnsi="宋体" w:eastAsia="仿宋_GB2312"/>
                <w:b/>
                <w:bCs/>
                <w:kern w:val="2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2"/>
              </w:rPr>
              <w:t xml:space="preserve">合 </w:t>
            </w:r>
            <w:r>
              <w:rPr>
                <w:rFonts w:hint="eastAsia" w:ascii="仿宋_GB2312" w:hAnsi="宋体" w:eastAsia="仿宋_GB2312"/>
                <w:b/>
                <w:bCs/>
                <w:kern w:val="2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bCs/>
                <w:kern w:val="2"/>
              </w:rPr>
              <w:t>计</w:t>
            </w:r>
          </w:p>
        </w:tc>
        <w:tc>
          <w:tcPr>
            <w:tcW w:w="1665" w:type="dxa"/>
            <w:vAlign w:val="center"/>
          </w:tcPr>
          <w:p>
            <w:pPr>
              <w:widowControl w:val="0"/>
              <w:jc w:val="right"/>
              <w:rPr>
                <w:rFonts w:hint="eastAsia" w:ascii="仿宋_GB2312" w:hAnsi="宋体" w:eastAsia="仿宋_GB2312"/>
                <w:b/>
                <w:kern w:val="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lang w:val="en-US" w:eastAsia="zh-CN"/>
              </w:rPr>
              <w:t>0</w:t>
            </w:r>
          </w:p>
        </w:tc>
        <w:tc>
          <w:tcPr>
            <w:tcW w:w="1667" w:type="dxa"/>
            <w:vAlign w:val="center"/>
          </w:tcPr>
          <w:p>
            <w:pPr>
              <w:widowControl w:val="0"/>
              <w:jc w:val="right"/>
              <w:rPr>
                <w:rFonts w:hint="default" w:ascii="仿宋_GB2312" w:hAnsi="宋体" w:eastAsia="仿宋_GB2312"/>
                <w:b/>
                <w:kern w:val="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lang w:val="en-US" w:eastAsia="zh-CN"/>
              </w:rPr>
              <w:t>4300</w:t>
            </w:r>
          </w:p>
        </w:tc>
        <w:tc>
          <w:tcPr>
            <w:tcW w:w="1150" w:type="dxa"/>
            <w:vAlign w:val="center"/>
          </w:tcPr>
          <w:p>
            <w:pPr>
              <w:widowControl w:val="0"/>
              <w:jc w:val="right"/>
              <w:rPr>
                <w:rFonts w:hint="default" w:ascii="仿宋_GB2312" w:hAnsi="宋体" w:eastAsia="仿宋_GB2312"/>
                <w:b/>
                <w:kern w:val="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kern w:val="2"/>
                <w:lang w:val="en-US" w:eastAsia="zh-CN"/>
              </w:rPr>
              <w:t>4300</w:t>
            </w:r>
          </w:p>
        </w:tc>
      </w:tr>
    </w:tbl>
    <w:p>
      <w:pPr>
        <w:ind w:firstLine="1081" w:firstLineChars="300"/>
        <w:jc w:val="both"/>
        <w:rPr>
          <w:rFonts w:hint="eastAsia" w:ascii="方正小标宋简体" w:hAnsi="方正小标宋简体" w:eastAsia="方正小标宋简体" w:cs="方正小标宋简体"/>
          <w:b/>
          <w:color w:val="000000"/>
          <w:sz w:val="36"/>
          <w:szCs w:val="36"/>
          <w:lang w:eastAsia="zh-CN"/>
        </w:rPr>
      </w:pPr>
    </w:p>
    <w:p>
      <w:pPr>
        <w:numPr>
          <w:ilvl w:val="0"/>
          <w:numId w:val="0"/>
        </w:numPr>
        <w:ind w:leftChars="0"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四、绩效预算工作开展情况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right="0" w:rightChars="0" w:firstLine="612" w:firstLineChars="200"/>
        <w:rPr>
          <w:rFonts w:hint="eastAsia" w:ascii="仿宋" w:hAnsi="仿宋" w:eastAsia="仿宋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全面实施预算绩效管理是党中央、国务院和省委、省政府作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出的重大决策部署。</w:t>
      </w:r>
      <w:r>
        <w:rPr>
          <w:rFonts w:hint="eastAsia" w:ascii="仿宋" w:hAnsi="仿宋" w:eastAsia="仿宋" w:cs="仿宋"/>
          <w:sz w:val="32"/>
          <w:szCs w:val="32"/>
        </w:rPr>
        <w:t>2020年，按照《全面实施预算绩效管理推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进工作方案》，</w:t>
      </w:r>
      <w:r>
        <w:rPr>
          <w:rFonts w:hint="eastAsia" w:ascii="仿宋" w:hAnsi="仿宋" w:eastAsia="仿宋" w:cs="仿宋"/>
          <w:spacing w:val="-11"/>
          <w:sz w:val="32"/>
          <w:szCs w:val="32"/>
          <w:lang w:val="en-US" w:eastAsia="zh-CN"/>
        </w:rPr>
        <w:t>继续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系统谋划推进基础工作、绩效目标、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绩效监控、绩效评价等工作在</w:t>
      </w:r>
      <w:r>
        <w:rPr>
          <w:rFonts w:hint="eastAsia" w:ascii="仿宋" w:hAnsi="仿宋" w:eastAsia="仿宋" w:cs="仿宋"/>
          <w:spacing w:val="-14"/>
          <w:sz w:val="32"/>
          <w:szCs w:val="32"/>
          <w:lang w:val="en-US" w:eastAsia="zh-CN"/>
        </w:rPr>
        <w:t>开发区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实施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50" w:lineRule="atLeast"/>
        <w:ind w:right="0" w:rightChars="0" w:firstLine="640" w:firstLineChars="200"/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五、政府采购情况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021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临港开发区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政府采购预算项目资金安排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537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万元，按照采购类区分：货物类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万元、工程类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55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万元、服务类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442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万元；按照采购资金来源性质分：一般公共预算资金安排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537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万元。20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临港开发区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政府采购限额标准为：货物类、服务类单项或批量采购预算金额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30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万元（不含）以下的，工程类单项或批量采购预算金额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万元（不含）以下的，不需要办理政府采购手续；公开招标限额标准为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zh-CN" w:eastAsia="zh-CN" w:bidi="ar-SA"/>
          <w14:textFill>
            <w14:solidFill>
              <w14:schemeClr w14:val="tx1"/>
            </w14:solidFill>
          </w14:textFill>
        </w:rPr>
        <w:t>00万元。</w:t>
      </w:r>
    </w:p>
    <w:p>
      <w:pPr>
        <w:jc w:val="center"/>
        <w:rPr>
          <w:rFonts w:hint="eastAsia" w:ascii="仿宋_GB2312" w:eastAsia="仿宋_GB2312"/>
          <w:b/>
          <w:color w:val="00000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BF26BC"/>
    <w:rsid w:val="054B782D"/>
    <w:rsid w:val="09CD1838"/>
    <w:rsid w:val="0C5B1A95"/>
    <w:rsid w:val="0DD91D5C"/>
    <w:rsid w:val="0DEA5374"/>
    <w:rsid w:val="103F4CCB"/>
    <w:rsid w:val="17F16DE2"/>
    <w:rsid w:val="18581E65"/>
    <w:rsid w:val="1A842DF8"/>
    <w:rsid w:val="1B5707CA"/>
    <w:rsid w:val="1B6A0E1D"/>
    <w:rsid w:val="1CDA7DD4"/>
    <w:rsid w:val="1F1E4996"/>
    <w:rsid w:val="1F6739A3"/>
    <w:rsid w:val="262F0D57"/>
    <w:rsid w:val="27C04CE8"/>
    <w:rsid w:val="27D56408"/>
    <w:rsid w:val="29C92D09"/>
    <w:rsid w:val="2C0F080A"/>
    <w:rsid w:val="3B7C5418"/>
    <w:rsid w:val="44C92BBC"/>
    <w:rsid w:val="499E0A9D"/>
    <w:rsid w:val="544D024B"/>
    <w:rsid w:val="57FC4B94"/>
    <w:rsid w:val="58C5543F"/>
    <w:rsid w:val="5B320255"/>
    <w:rsid w:val="5D82145E"/>
    <w:rsid w:val="5D8B0A5D"/>
    <w:rsid w:val="5FFB3CDE"/>
    <w:rsid w:val="64FC6F05"/>
    <w:rsid w:val="658C4172"/>
    <w:rsid w:val="6CB478FB"/>
    <w:rsid w:val="71D13ADD"/>
    <w:rsid w:val="73111E21"/>
    <w:rsid w:val="76DC1106"/>
    <w:rsid w:val="7AD744AE"/>
    <w:rsid w:val="7BEC3993"/>
    <w:rsid w:val="7ECA63F7"/>
    <w:rsid w:val="7F345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sz w:val="24"/>
      <w:szCs w:val="24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lang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2019-01-27T09:32:00Z</dcterms:created>
  <dc:creator>hx</dc:creator>
  <cp:lastModifiedBy>W.N.</cp:lastModifiedBy>
  <dcterms:modified xsi:type="dcterms:W3CDTF">2021-05-11T07:21:02Z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B3CCBB7B71F14C3194AC23F61012D7BA</vt:lpwstr>
  </property>
</Properties>
</file>