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color w:val="000000" w:themeColor="text1"/>
          <w:lang w:eastAsia="zh-CN"/>
        </w:rPr>
      </w:pPr>
    </w:p>
    <w:p>
      <w:pPr>
        <w:snapToGrid w:val="0"/>
        <w:spacing w:line="360" w:lineRule="auto"/>
        <w:jc w:val="center"/>
        <w:rPr>
          <w:rFonts w:ascii="宋体"/>
          <w:b/>
          <w:color w:val="000000" w:themeColor="text1"/>
          <w:sz w:val="48"/>
          <w:szCs w:val="48"/>
        </w:rPr>
      </w:pPr>
    </w:p>
    <w:p>
      <w:pPr>
        <w:snapToGrid w:val="0"/>
        <w:spacing w:line="360" w:lineRule="auto"/>
        <w:jc w:val="center"/>
        <w:rPr>
          <w:rFonts w:ascii="宋体"/>
          <w:b/>
          <w:color w:val="000000" w:themeColor="text1"/>
          <w:sz w:val="68"/>
          <w:szCs w:val="68"/>
        </w:rPr>
      </w:pPr>
      <w:r>
        <w:rPr>
          <w:rFonts w:ascii="宋体" w:hAnsi="宋体"/>
          <w:b/>
          <w:color w:val="000000" w:themeColor="text1"/>
          <w:sz w:val="68"/>
          <w:szCs w:val="68"/>
        </w:rPr>
        <w:t>20</w:t>
      </w:r>
      <w:r>
        <w:rPr>
          <w:rFonts w:hint="eastAsia" w:ascii="宋体" w:hAnsi="宋体"/>
          <w:b/>
          <w:color w:val="000000" w:themeColor="text1"/>
          <w:sz w:val="68"/>
          <w:szCs w:val="68"/>
        </w:rPr>
        <w:t>22年沧州临港经济技术开发区财政预算（草案）</w:t>
      </w:r>
    </w:p>
    <w:p>
      <w:pPr>
        <w:spacing w:line="360" w:lineRule="auto"/>
        <w:rPr>
          <w:rFonts w:ascii="仿宋_GB2312" w:hAnsi="宋体" w:eastAsia="仿宋_GB2312"/>
          <w:color w:val="000000" w:themeColor="text1"/>
          <w:sz w:val="32"/>
          <w:szCs w:val="32"/>
        </w:rPr>
      </w:pPr>
    </w:p>
    <w:p>
      <w:pPr>
        <w:spacing w:line="360" w:lineRule="auto"/>
        <w:ind w:firstLine="290" w:firstLineChars="100"/>
        <w:rPr>
          <w:rFonts w:ascii="仿宋_GB2312" w:hAnsi="宋体" w:eastAsia="仿宋_GB2312"/>
          <w:color w:val="000000" w:themeColor="text1"/>
          <w:sz w:val="29"/>
          <w:szCs w:val="29"/>
        </w:rPr>
      </w:pP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22年沧州临港经济技术开发区</w:t>
      </w:r>
      <w:r>
        <w:rPr>
          <w:rFonts w:hint="eastAsia" w:ascii="仿宋_GB2312" w:hAnsi="宋体" w:eastAsia="仿宋_GB2312"/>
          <w:color w:val="000000" w:themeColor="text1"/>
          <w:sz w:val="29"/>
          <w:szCs w:val="29"/>
          <w:lang w:bidi="en-US"/>
        </w:rPr>
        <w:t>一般公共预算</w:t>
      </w:r>
      <w:r>
        <w:rPr>
          <w:rFonts w:hint="eastAsia" w:ascii="仿宋_GB2312" w:hAnsi="宋体" w:eastAsia="仿宋_GB2312"/>
          <w:color w:val="000000" w:themeColor="text1"/>
          <w:sz w:val="29"/>
          <w:szCs w:val="29"/>
        </w:rPr>
        <w:t>（草案）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22年沧州临港经济技术开发区政府性基金预算（草案）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22年沧州临港经济技术开发区国有资本经营预算（草案）</w:t>
      </w:r>
    </w:p>
    <w:p>
      <w:pPr>
        <w:spacing w:line="360" w:lineRule="auto"/>
        <w:ind w:firstLine="290" w:firstLineChars="100"/>
        <w:rPr>
          <w:rFonts w:ascii="仿宋_GB2312" w:hAnsi="宋体" w:eastAsia="仿宋_GB2312"/>
          <w:color w:val="000000" w:themeColor="text1"/>
          <w:sz w:val="29"/>
          <w:szCs w:val="29"/>
        </w:rPr>
      </w:pPr>
      <w:r>
        <w:rPr>
          <w:rFonts w:ascii="仿宋_GB2312" w:hAnsi="宋体" w:eastAsia="仿宋_GB2312"/>
          <w:color w:val="000000" w:themeColor="text1"/>
          <w:sz w:val="29"/>
          <w:szCs w:val="29"/>
        </w:rPr>
        <w:t>——20</w:t>
      </w:r>
      <w:r>
        <w:rPr>
          <w:rFonts w:hint="eastAsia" w:ascii="仿宋_GB2312" w:hAnsi="宋体" w:eastAsia="仿宋_GB2312"/>
          <w:color w:val="000000" w:themeColor="text1"/>
          <w:sz w:val="29"/>
          <w:szCs w:val="29"/>
        </w:rPr>
        <w:t>22年沧州临港经济技术开发区社会保险基金预算（草案）</w:t>
      </w:r>
    </w:p>
    <w:p>
      <w:pPr>
        <w:spacing w:line="220" w:lineRule="atLeast"/>
        <w:rPr>
          <w:color w:val="000000" w:themeColor="text1"/>
        </w:rPr>
      </w:pPr>
    </w:p>
    <w:p>
      <w:pPr>
        <w:spacing w:line="220" w:lineRule="atLeast"/>
        <w:rPr>
          <w:color w:val="000000" w:themeColor="text1"/>
        </w:rPr>
      </w:pPr>
    </w:p>
    <w:p>
      <w:pPr>
        <w:spacing w:line="360" w:lineRule="auto"/>
        <w:rPr>
          <w:rFonts w:ascii="仿宋_GB2312" w:eastAsia="仿宋_GB2312"/>
          <w:b/>
          <w:color w:val="000000" w:themeColor="text1"/>
          <w:sz w:val="32"/>
          <w:szCs w:val="3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spacing w:line="360" w:lineRule="auto"/>
        <w:jc w:val="center"/>
        <w:rPr>
          <w:rFonts w:ascii="黑体" w:eastAsia="黑体"/>
          <w:b/>
          <w:color w:val="000000" w:themeColor="text1"/>
          <w:sz w:val="52"/>
          <w:szCs w:val="52"/>
        </w:rPr>
      </w:pPr>
    </w:p>
    <w:p>
      <w:pPr>
        <w:jc w:val="center"/>
        <w:rPr>
          <w:b/>
          <w:color w:val="000000" w:themeColor="text1"/>
          <w:sz w:val="40"/>
          <w:szCs w:val="40"/>
        </w:rPr>
        <w:sectPr>
          <w:headerReference r:id="rId3" w:type="default"/>
          <w:footerReference r:id="rId4" w:type="default"/>
          <w:footerReference r:id="rId5" w:type="even"/>
          <w:pgSz w:w="11906" w:h="16838"/>
          <w:pgMar w:top="1440" w:right="1701" w:bottom="1440" w:left="1588" w:header="709" w:footer="709" w:gutter="0"/>
          <w:pgNumType w:fmt="numberInDash" w:start="0"/>
          <w:cols w:space="708" w:num="1"/>
          <w:titlePg/>
          <w:docGrid w:type="lines" w:linePitch="360" w:charSpace="0"/>
        </w:sectPr>
      </w:pPr>
      <w:r>
        <w:rPr>
          <w:rFonts w:hint="eastAsia"/>
          <w:b/>
          <w:color w:val="000000" w:themeColor="text1"/>
          <w:sz w:val="40"/>
          <w:szCs w:val="40"/>
        </w:rPr>
        <w:t>2021年</w:t>
      </w:r>
      <w:r>
        <w:rPr>
          <w:b/>
          <w:color w:val="000000" w:themeColor="text1"/>
          <w:sz w:val="40"/>
          <w:szCs w:val="40"/>
        </w:rPr>
        <w:t>1</w:t>
      </w:r>
      <w:r>
        <w:rPr>
          <w:rFonts w:hint="eastAsia"/>
          <w:b/>
          <w:color w:val="000000" w:themeColor="text1"/>
          <w:sz w:val="40"/>
          <w:szCs w:val="40"/>
        </w:rPr>
        <w:t>2月</w:t>
      </w:r>
    </w:p>
    <w:p>
      <w:pPr>
        <w:pStyle w:val="12"/>
        <w:tabs>
          <w:tab w:val="right" w:leader="dot" w:pos="8607"/>
        </w:tabs>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目  录</w:t>
      </w:r>
    </w:p>
    <w:p>
      <w:pPr>
        <w:pStyle w:val="12"/>
        <w:tabs>
          <w:tab w:val="right" w:leader="dot" w:pos="8607"/>
        </w:tabs>
        <w:rPr>
          <w:rFonts w:asciiTheme="minorHAnsi" w:hAnsiTheme="minorHAnsi" w:eastAsiaTheme="minorEastAsia" w:cstheme="minorBidi"/>
          <w:kern w:val="2"/>
          <w:sz w:val="21"/>
        </w:rPr>
      </w:pPr>
      <w:r>
        <w:rPr>
          <w:rFonts w:ascii="仿宋_GB2312" w:eastAsia="仿宋_GB2312"/>
          <w:sz w:val="26"/>
          <w:szCs w:val="26"/>
        </w:rPr>
        <w:fldChar w:fldCharType="begin"/>
      </w:r>
      <w:r>
        <w:rPr>
          <w:rFonts w:ascii="仿宋_GB2312" w:eastAsia="仿宋_GB2312"/>
          <w:sz w:val="26"/>
          <w:szCs w:val="26"/>
        </w:rPr>
        <w:instrText xml:space="preserve"> </w:instrText>
      </w:r>
      <w:r>
        <w:rPr>
          <w:rFonts w:hint="eastAsia" w:ascii="仿宋_GB2312" w:eastAsia="仿宋_GB2312"/>
          <w:sz w:val="26"/>
          <w:szCs w:val="26"/>
        </w:rPr>
        <w:instrText xml:space="preserve">TOC \o "1-2" \h \z \u</w:instrText>
      </w:r>
      <w:r>
        <w:rPr>
          <w:rFonts w:ascii="仿宋_GB2312" w:eastAsia="仿宋_GB2312"/>
          <w:sz w:val="26"/>
          <w:szCs w:val="26"/>
        </w:rPr>
        <w:instrText xml:space="preserve"> </w:instrText>
      </w:r>
      <w:r>
        <w:rPr>
          <w:rFonts w:ascii="仿宋_GB2312" w:eastAsia="仿宋_GB2312"/>
          <w:sz w:val="26"/>
          <w:szCs w:val="26"/>
        </w:rPr>
        <w:fldChar w:fldCharType="separate"/>
      </w:r>
      <w:r>
        <w:fldChar w:fldCharType="begin"/>
      </w:r>
      <w:r>
        <w:instrText xml:space="preserve"> HYPERLINK \l "_Toc91771905" </w:instrText>
      </w:r>
      <w:r>
        <w:fldChar w:fldCharType="separate"/>
      </w:r>
      <w:r>
        <w:rPr>
          <w:rStyle w:val="20"/>
          <w:rFonts w:hint="eastAsia" w:ascii="方正小标宋简体" w:hAnsi="方正小标宋简体" w:eastAsia="方正小标宋简体" w:cs="方正小标宋简体"/>
          <w:b/>
          <w:color w:val="auto"/>
          <w:kern w:val="44"/>
          <w:sz w:val="26"/>
          <w:szCs w:val="26"/>
          <w:u w:val="none"/>
        </w:rPr>
        <w:t>第一部分</w:t>
      </w:r>
      <w:r>
        <w:rPr>
          <w:rStyle w:val="20"/>
          <w:rFonts w:ascii="方正小标宋简体" w:hAnsi="方正小标宋简体" w:eastAsia="方正小标宋简体" w:cs="方正小标宋简体"/>
          <w:b/>
          <w:color w:val="auto"/>
          <w:kern w:val="44"/>
          <w:sz w:val="26"/>
          <w:szCs w:val="26"/>
          <w:u w:val="none"/>
        </w:rPr>
        <w:t>2022</w:t>
      </w:r>
      <w:r>
        <w:rPr>
          <w:rStyle w:val="20"/>
          <w:rFonts w:hint="eastAsia" w:ascii="方正小标宋简体" w:hAnsi="方正小标宋简体" w:eastAsia="方正小标宋简体" w:cs="方正小标宋简体"/>
          <w:b/>
          <w:color w:val="auto"/>
          <w:kern w:val="44"/>
          <w:sz w:val="26"/>
          <w:szCs w:val="26"/>
          <w:u w:val="none"/>
        </w:rPr>
        <w:t>年财政形势及预算编制总体纲要</w:t>
      </w:r>
      <w:r>
        <w:tab/>
      </w:r>
      <w:r>
        <w:fldChar w:fldCharType="begin"/>
      </w:r>
      <w:r>
        <w:instrText xml:space="preserve"> PAGEREF _Toc91771905 \h </w:instrText>
      </w:r>
      <w:r>
        <w:fldChar w:fldCharType="separate"/>
      </w:r>
      <w:r>
        <w:t>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"_Toc91771908" </w:instrText>
      </w:r>
      <w:r>
        <w:fldChar w:fldCharType="separate"/>
      </w:r>
      <w:r>
        <w:rPr>
          <w:rStyle w:val="20"/>
          <w:rFonts w:ascii="方正小标宋简体" w:hAnsi="方正小标宋简体" w:eastAsia="方正小标宋简体" w:cs="方正小标宋简体"/>
          <w:color w:val="auto"/>
          <w:kern w:val="44"/>
          <w:sz w:val="26"/>
          <w:szCs w:val="26"/>
          <w:u w:val="none"/>
        </w:rPr>
        <w:t xml:space="preserve">§1  </w:t>
      </w:r>
      <w:r>
        <w:rPr>
          <w:rStyle w:val="20"/>
          <w:rFonts w:hint="eastAsia" w:ascii="方正小标宋简体" w:hAnsi="方正小标宋简体" w:eastAsia="方正小标宋简体" w:cs="方正小标宋简体"/>
          <w:color w:val="auto"/>
          <w:kern w:val="44"/>
          <w:sz w:val="26"/>
          <w:szCs w:val="26"/>
          <w:u w:val="none"/>
        </w:rPr>
        <w:t>财政经济形势及经济社会发展主要预期目标</w:t>
      </w:r>
      <w:r>
        <w:tab/>
      </w:r>
      <w:r>
        <w:fldChar w:fldCharType="begin"/>
      </w:r>
      <w:r>
        <w:instrText xml:space="preserve"> PAGEREF _Toc91771908 \h </w:instrText>
      </w:r>
      <w:r>
        <w:fldChar w:fldCharType="separate"/>
      </w:r>
      <w:r>
        <w:t>2</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"_Toc91771909" </w:instrText>
      </w:r>
      <w:r>
        <w:fldChar w:fldCharType="separate"/>
      </w:r>
      <w:r>
        <w:rPr>
          <w:rStyle w:val="20"/>
          <w:rFonts w:ascii="方正小标宋简体" w:hAnsi="方正小标宋简体" w:eastAsia="方正小标宋简体" w:cs="方正小标宋简体"/>
          <w:color w:val="auto"/>
          <w:kern w:val="44"/>
          <w:sz w:val="26"/>
          <w:szCs w:val="26"/>
          <w:u w:val="none"/>
        </w:rPr>
        <w:t xml:space="preserve">§2  </w:t>
      </w:r>
      <w:r>
        <w:rPr>
          <w:rStyle w:val="20"/>
          <w:rFonts w:hint="eastAsia" w:ascii="方正小标宋简体" w:hAnsi="方正小标宋简体" w:eastAsia="方正小标宋简体" w:cs="方正小标宋简体"/>
          <w:color w:val="auto"/>
          <w:kern w:val="44"/>
          <w:sz w:val="26"/>
          <w:szCs w:val="26"/>
          <w:u w:val="none"/>
        </w:rPr>
        <w:t>预算编制的指导思想和编制原则</w:t>
      </w:r>
      <w:r>
        <w:tab/>
      </w:r>
      <w:r>
        <w:fldChar w:fldCharType="begin"/>
      </w:r>
      <w:r>
        <w:instrText xml:space="preserve"> PAGEREF _Toc91771909 \h </w:instrText>
      </w:r>
      <w:r>
        <w:fldChar w:fldCharType="separate"/>
      </w:r>
      <w:r>
        <w:t>4</w:t>
      </w:r>
      <w:r>
        <w:fldChar w:fldCharType="end"/>
      </w:r>
      <w:r>
        <w:fldChar w:fldCharType="end"/>
      </w:r>
    </w:p>
    <w:p>
      <w:pPr>
        <w:pStyle w:val="12"/>
        <w:tabs>
          <w:tab w:val="right" w:leader="dot" w:pos="8607"/>
        </w:tabs>
        <w:rPr>
          <w:rFonts w:asciiTheme="minorHAnsi" w:hAnsiTheme="minorHAnsi" w:eastAsiaTheme="minorEastAsia" w:cstheme="minorBidi"/>
          <w:kern w:val="2"/>
          <w:sz w:val="21"/>
        </w:rPr>
      </w:pPr>
      <w:r>
        <w:fldChar w:fldCharType="begin"/>
      </w:r>
      <w:r>
        <w:instrText xml:space="preserve"> HYPERLINK \l "_Toc91771910" </w:instrText>
      </w:r>
      <w:r>
        <w:fldChar w:fldCharType="separate"/>
      </w:r>
      <w:r>
        <w:rPr>
          <w:rStyle w:val="20"/>
          <w:rFonts w:hint="eastAsia" w:ascii="方正小标宋简体" w:hAnsi="方正小标宋简体" w:eastAsia="方正小标宋简体" w:cs="方正小标宋简体"/>
          <w:b/>
          <w:color w:val="auto"/>
          <w:kern w:val="44"/>
          <w:sz w:val="26"/>
          <w:szCs w:val="26"/>
          <w:u w:val="none"/>
        </w:rPr>
        <w:t>第二部分</w:t>
      </w:r>
      <w:r>
        <w:rPr>
          <w:rStyle w:val="20"/>
          <w:rFonts w:ascii="方正小标宋简体" w:hAnsi="方正小标宋简体" w:eastAsia="方正小标宋简体" w:cs="方正小标宋简体"/>
          <w:b/>
          <w:color w:val="auto"/>
          <w:kern w:val="44"/>
          <w:sz w:val="26"/>
          <w:szCs w:val="26"/>
          <w:u w:val="none"/>
        </w:rPr>
        <w:t>2022</w:t>
      </w:r>
      <w:r>
        <w:rPr>
          <w:rStyle w:val="20"/>
          <w:rFonts w:hint="eastAsia" w:ascii="方正小标宋简体" w:hAnsi="方正小标宋简体" w:eastAsia="方正小标宋简体" w:cs="方正小标宋简体"/>
          <w:b/>
          <w:color w:val="auto"/>
          <w:kern w:val="44"/>
          <w:sz w:val="26"/>
          <w:szCs w:val="26"/>
          <w:u w:val="none"/>
        </w:rPr>
        <w:t>年沧州临港经济技术开发区一般公共预算（草案）</w:t>
      </w:r>
      <w:r>
        <w:tab/>
      </w:r>
      <w:r>
        <w:fldChar w:fldCharType="begin"/>
      </w:r>
      <w:r>
        <w:instrText xml:space="preserve"> PAGEREF _Toc91771910 \h </w:instrText>
      </w:r>
      <w:r>
        <w:fldChar w:fldCharType="separate"/>
      </w:r>
      <w:r>
        <w:t>7</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"_Toc91771913" </w:instrText>
      </w:r>
      <w:r>
        <w:fldChar w:fldCharType="separate"/>
      </w:r>
      <w:r>
        <w:rPr>
          <w:rStyle w:val="20"/>
          <w:rFonts w:ascii="方正小标宋简体" w:hAnsi="方正小标宋简体" w:eastAsia="方正小标宋简体" w:cs="方正小标宋简体"/>
          <w:color w:val="auto"/>
          <w:kern w:val="44"/>
          <w:sz w:val="26"/>
          <w:szCs w:val="26"/>
          <w:u w:val="none"/>
        </w:rPr>
        <w:t>§1  2022</w:t>
      </w:r>
      <w:r>
        <w:rPr>
          <w:rStyle w:val="20"/>
          <w:rFonts w:hint="eastAsia" w:ascii="方正小标宋简体" w:hAnsi="方正小标宋简体" w:eastAsia="方正小标宋简体" w:cs="方正小标宋简体"/>
          <w:color w:val="auto"/>
          <w:kern w:val="44"/>
          <w:sz w:val="26"/>
          <w:szCs w:val="26"/>
          <w:u w:val="none"/>
        </w:rPr>
        <w:t>年一般公共预算收支安排情况</w:t>
      </w:r>
      <w:r>
        <w:tab/>
      </w:r>
      <w:r>
        <w:fldChar w:fldCharType="begin"/>
      </w:r>
      <w:r>
        <w:instrText xml:space="preserve"> PAGEREF _Toc91771913 \h </w:instrText>
      </w:r>
      <w:r>
        <w:fldChar w:fldCharType="separate"/>
      </w:r>
      <w:r>
        <w:t>8</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"_Toc91771914" </w:instrText>
      </w:r>
      <w:r>
        <w:fldChar w:fldCharType="separate"/>
      </w:r>
      <w:r>
        <w:rPr>
          <w:rStyle w:val="20"/>
          <w:rFonts w:ascii="方正小标宋简体" w:hAnsi="方正小标宋简体" w:eastAsia="方正小标宋简体" w:cs="方正小标宋简体"/>
          <w:color w:val="auto"/>
          <w:kern w:val="44"/>
          <w:sz w:val="26"/>
          <w:szCs w:val="26"/>
          <w:u w:val="none"/>
        </w:rPr>
        <w:t>§2  2022</w:t>
      </w:r>
      <w:r>
        <w:rPr>
          <w:rStyle w:val="20"/>
          <w:rFonts w:hint="eastAsia" w:ascii="方正小标宋简体" w:hAnsi="方正小标宋简体" w:eastAsia="方正小标宋简体" w:cs="方正小标宋简体"/>
          <w:color w:val="auto"/>
          <w:kern w:val="44"/>
          <w:sz w:val="26"/>
          <w:szCs w:val="26"/>
          <w:u w:val="none"/>
        </w:rPr>
        <w:t>年一般公共预算收支平衡情况表</w:t>
      </w:r>
      <w:r>
        <w:tab/>
      </w:r>
      <w:r>
        <w:fldChar w:fldCharType="begin"/>
      </w:r>
      <w:r>
        <w:instrText xml:space="preserve"> PAGEREF _Toc91771914 \h </w:instrText>
      </w:r>
      <w:r>
        <w:fldChar w:fldCharType="separate"/>
      </w:r>
      <w:r>
        <w:t>11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"_Toc91771915" </w:instrText>
      </w:r>
      <w:r>
        <w:fldChar w:fldCharType="separate"/>
      </w:r>
      <w:r>
        <w:rPr>
          <w:rStyle w:val="20"/>
          <w:rFonts w:ascii="方正小标宋简体" w:hAnsi="方正小标宋简体" w:eastAsia="方正小标宋简体" w:cs="方正小标宋简体"/>
          <w:color w:val="auto"/>
          <w:kern w:val="44"/>
          <w:sz w:val="26"/>
          <w:szCs w:val="26"/>
          <w:u w:val="none"/>
        </w:rPr>
        <w:t>§3  2022</w:t>
      </w:r>
      <w:r>
        <w:rPr>
          <w:rStyle w:val="20"/>
          <w:rFonts w:hint="eastAsia" w:ascii="方正小标宋简体" w:hAnsi="方正小标宋简体" w:eastAsia="方正小标宋简体" w:cs="方正小标宋简体"/>
          <w:color w:val="auto"/>
          <w:kern w:val="44"/>
          <w:sz w:val="26"/>
          <w:szCs w:val="26"/>
          <w:u w:val="none"/>
        </w:rPr>
        <w:t>年一般公共预算收入安排情况表</w:t>
      </w:r>
      <w:r>
        <w:tab/>
      </w:r>
      <w:r>
        <w:fldChar w:fldCharType="begin"/>
      </w:r>
      <w:r>
        <w:instrText xml:space="preserve"> PAGEREF _Toc91771915 \h </w:instrText>
      </w:r>
      <w:r>
        <w:fldChar w:fldCharType="separate"/>
      </w:r>
      <w:r>
        <w:t>12</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"_Toc91771916" </w:instrText>
      </w:r>
      <w:r>
        <w:fldChar w:fldCharType="separate"/>
      </w:r>
      <w:r>
        <w:rPr>
          <w:rStyle w:val="20"/>
          <w:rFonts w:ascii="方正小标宋简体" w:hAnsi="方正小标宋简体" w:eastAsia="方正小标宋简体" w:cs="方正小标宋简体"/>
          <w:color w:val="auto"/>
          <w:kern w:val="44"/>
          <w:sz w:val="26"/>
          <w:szCs w:val="26"/>
          <w:u w:val="none"/>
        </w:rPr>
        <w:t>§4 2022</w:t>
      </w:r>
      <w:r>
        <w:rPr>
          <w:rStyle w:val="20"/>
          <w:rFonts w:hint="eastAsia" w:ascii="方正小标宋简体" w:hAnsi="方正小标宋简体" w:eastAsia="方正小标宋简体" w:cs="方正小标宋简体"/>
          <w:color w:val="auto"/>
          <w:kern w:val="44"/>
          <w:sz w:val="26"/>
          <w:szCs w:val="26"/>
          <w:u w:val="none"/>
        </w:rPr>
        <w:t>年一般公共预算支出功能分类汇总表</w:t>
      </w:r>
      <w:r>
        <w:tab/>
      </w:r>
      <w:r>
        <w:fldChar w:fldCharType="begin"/>
      </w:r>
      <w:r>
        <w:instrText xml:space="preserve"> PAGEREF _Toc91771916 \h </w:instrText>
      </w:r>
      <w:r>
        <w:fldChar w:fldCharType="separate"/>
      </w:r>
      <w:r>
        <w:t>13</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"_Toc91771917" </w:instrText>
      </w:r>
      <w:r>
        <w:fldChar w:fldCharType="separate"/>
      </w:r>
      <w:r>
        <w:rPr>
          <w:rStyle w:val="20"/>
          <w:rFonts w:ascii="方正小标宋简体" w:hAnsi="方正小标宋简体" w:eastAsia="方正小标宋简体" w:cs="方正小标宋简体"/>
          <w:color w:val="auto"/>
          <w:kern w:val="44"/>
          <w:sz w:val="26"/>
          <w:szCs w:val="26"/>
          <w:u w:val="none"/>
        </w:rPr>
        <w:t>§5 2022</w:t>
      </w:r>
      <w:r>
        <w:rPr>
          <w:rStyle w:val="20"/>
          <w:rFonts w:hint="eastAsia" w:ascii="方正小标宋简体" w:hAnsi="方正小标宋简体" w:eastAsia="方正小标宋简体" w:cs="方正小标宋简体"/>
          <w:color w:val="auto"/>
          <w:kern w:val="44"/>
          <w:sz w:val="26"/>
          <w:szCs w:val="26"/>
          <w:u w:val="none"/>
        </w:rPr>
        <w:t>年一般公共预算支出功能分类明细表</w:t>
      </w:r>
      <w:r>
        <w:tab/>
      </w:r>
      <w:r>
        <w:fldChar w:fldCharType="begin"/>
      </w:r>
      <w:r>
        <w:instrText xml:space="preserve"> PAGEREF _Toc91771917 \h </w:instrText>
      </w:r>
      <w:r>
        <w:fldChar w:fldCharType="separate"/>
      </w:r>
      <w:r>
        <w:t>16</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"_Toc91771918" </w:instrText>
      </w:r>
      <w:r>
        <w:fldChar w:fldCharType="separate"/>
      </w:r>
      <w:r>
        <w:rPr>
          <w:rStyle w:val="20"/>
          <w:rFonts w:ascii="方正小标宋简体" w:hAnsi="方正小标宋简体" w:eastAsia="方正小标宋简体" w:cs="方正小标宋简体"/>
          <w:color w:val="auto"/>
          <w:kern w:val="44"/>
          <w:sz w:val="26"/>
          <w:szCs w:val="26"/>
          <w:u w:val="none"/>
        </w:rPr>
        <w:t>§6  2022</w:t>
      </w:r>
      <w:r>
        <w:rPr>
          <w:rStyle w:val="20"/>
          <w:rFonts w:hint="eastAsia" w:ascii="方正小标宋简体" w:hAnsi="方正小标宋简体" w:eastAsia="方正小标宋简体" w:cs="方正小标宋简体"/>
          <w:color w:val="auto"/>
          <w:kern w:val="44"/>
          <w:sz w:val="26"/>
          <w:szCs w:val="26"/>
          <w:u w:val="none"/>
        </w:rPr>
        <w:t>年基本支出经济分类汇总表</w:t>
      </w:r>
      <w:r>
        <w:tab/>
      </w:r>
      <w:r>
        <w:fldChar w:fldCharType="begin"/>
      </w:r>
      <w:r>
        <w:instrText xml:space="preserve"> PAGEREF _Toc91771918 \h </w:instrText>
      </w:r>
      <w:r>
        <w:fldChar w:fldCharType="separate"/>
      </w:r>
      <w:r>
        <w:t>20</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"_Toc91771919" </w:instrText>
      </w:r>
      <w:r>
        <w:fldChar w:fldCharType="separate"/>
      </w:r>
      <w:r>
        <w:rPr>
          <w:rStyle w:val="20"/>
          <w:rFonts w:ascii="方正小标宋简体" w:hAnsi="方正小标宋简体" w:eastAsia="方正小标宋简体" w:cs="方正小标宋简体"/>
          <w:color w:val="auto"/>
          <w:kern w:val="44"/>
          <w:sz w:val="26"/>
          <w:szCs w:val="26"/>
          <w:u w:val="none"/>
        </w:rPr>
        <w:t>§7  2022</w:t>
      </w:r>
      <w:r>
        <w:rPr>
          <w:rStyle w:val="20"/>
          <w:rFonts w:hint="eastAsia" w:ascii="方正小标宋简体" w:hAnsi="方正小标宋简体" w:eastAsia="方正小标宋简体" w:cs="方正小标宋简体"/>
          <w:color w:val="auto"/>
          <w:kern w:val="44"/>
          <w:sz w:val="26"/>
          <w:szCs w:val="26"/>
          <w:u w:val="none"/>
        </w:rPr>
        <w:t>年一般公共预算安排意见明细表</w:t>
      </w:r>
      <w:r>
        <w:tab/>
      </w:r>
      <w:r>
        <w:fldChar w:fldCharType="begin"/>
      </w:r>
      <w:r>
        <w:instrText xml:space="preserve"> PAGEREF _Toc91771919 \h </w:instrText>
      </w:r>
      <w:r>
        <w:fldChar w:fldCharType="separate"/>
      </w:r>
      <w:r>
        <w:t>21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"_Toc91771920" </w:instrText>
      </w:r>
      <w:r>
        <w:fldChar w:fldCharType="separate"/>
      </w:r>
      <w:r>
        <w:rPr>
          <w:rStyle w:val="20"/>
          <w:rFonts w:ascii="方正小标宋简体" w:hAnsi="方正小标宋简体" w:eastAsia="方正小标宋简体" w:cs="方正小标宋简体"/>
          <w:color w:val="auto"/>
          <w:kern w:val="44"/>
          <w:sz w:val="26"/>
          <w:szCs w:val="26"/>
          <w:u w:val="none"/>
        </w:rPr>
        <w:t>§8  2022</w:t>
      </w:r>
      <w:r>
        <w:rPr>
          <w:rStyle w:val="20"/>
          <w:rFonts w:hint="eastAsia" w:ascii="方正小标宋简体" w:hAnsi="方正小标宋简体" w:eastAsia="方正小标宋简体" w:cs="方正小标宋简体"/>
          <w:color w:val="auto"/>
          <w:kern w:val="44"/>
          <w:sz w:val="26"/>
          <w:szCs w:val="26"/>
          <w:u w:val="none"/>
        </w:rPr>
        <w:t>年财政资金安排“三公</w:t>
      </w:r>
      <w:r>
        <w:rPr>
          <w:rStyle w:val="20"/>
          <w:rFonts w:hint="eastAsia" w:ascii="方正小标宋简体" w:hAnsi="方正小标宋简体" w:eastAsia="方正小标宋简体" w:cs="方正小标宋简体"/>
          <w:color w:val="auto"/>
          <w:kern w:val="44"/>
          <w:sz w:val="26"/>
          <w:szCs w:val="26"/>
          <w:u w:val="none"/>
          <w:lang w:eastAsia="zh-CN"/>
        </w:rPr>
        <w:t>”</w:t>
      </w:r>
      <w:r>
        <w:rPr>
          <w:rStyle w:val="20"/>
          <w:rFonts w:hint="eastAsia" w:ascii="方正小标宋简体" w:hAnsi="方正小标宋简体" w:eastAsia="方正小标宋简体" w:cs="方正小标宋简体"/>
          <w:color w:val="auto"/>
          <w:kern w:val="44"/>
          <w:sz w:val="26"/>
          <w:szCs w:val="26"/>
          <w:u w:val="none"/>
        </w:rPr>
        <w:t>经费预算情况</w:t>
      </w:r>
      <w:r>
        <w:tab/>
      </w:r>
      <w:r>
        <w:fldChar w:fldCharType="begin"/>
      </w:r>
      <w:r>
        <w:instrText xml:space="preserve"> PAGEREF _Toc91771920 \h </w:instrText>
      </w:r>
      <w:r>
        <w:fldChar w:fldCharType="separate"/>
      </w:r>
      <w:r>
        <w:t>25</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"_Toc91771921" </w:instrText>
      </w:r>
      <w:r>
        <w:fldChar w:fldCharType="separate"/>
      </w:r>
      <w:r>
        <w:rPr>
          <w:rStyle w:val="20"/>
          <w:rFonts w:ascii="方正小标宋简体" w:hAnsi="方正小标宋简体" w:eastAsia="方正小标宋简体" w:cs="方正小标宋简体"/>
          <w:color w:val="auto"/>
          <w:kern w:val="44"/>
          <w:sz w:val="26"/>
          <w:szCs w:val="26"/>
          <w:u w:val="none"/>
        </w:rPr>
        <w:t>§9 2022</w:t>
      </w:r>
      <w:r>
        <w:rPr>
          <w:rStyle w:val="20"/>
          <w:rFonts w:hint="eastAsia" w:ascii="方正小标宋简体" w:hAnsi="方正小标宋简体" w:eastAsia="方正小标宋简体" w:cs="方正小标宋简体"/>
          <w:color w:val="auto"/>
          <w:kern w:val="44"/>
          <w:sz w:val="26"/>
          <w:szCs w:val="26"/>
          <w:u w:val="none"/>
        </w:rPr>
        <w:t>年临港开发区政府债务情况</w:t>
      </w:r>
      <w:r>
        <w:tab/>
      </w:r>
      <w:r>
        <w:fldChar w:fldCharType="begin"/>
      </w:r>
      <w:r>
        <w:instrText xml:space="preserve"> PAGEREF _Toc91771921 \h </w:instrText>
      </w:r>
      <w:r>
        <w:fldChar w:fldCharType="separate"/>
      </w:r>
      <w:r>
        <w:t>26</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"_Toc91771922" </w:instrText>
      </w:r>
      <w:r>
        <w:fldChar w:fldCharType="separate"/>
      </w:r>
      <w:r>
        <w:rPr>
          <w:rStyle w:val="20"/>
          <w:rFonts w:ascii="方正小标宋简体" w:hAnsi="方正小标宋简体" w:eastAsia="方正小标宋简体" w:cs="方正小标宋简体"/>
          <w:color w:val="auto"/>
          <w:kern w:val="44"/>
          <w:sz w:val="26"/>
          <w:szCs w:val="26"/>
          <w:u w:val="none"/>
        </w:rPr>
        <w:t>§10  2021</w:t>
      </w:r>
      <w:r>
        <w:rPr>
          <w:rStyle w:val="20"/>
          <w:rFonts w:hint="eastAsia" w:ascii="方正小标宋简体" w:hAnsi="方正小标宋简体" w:eastAsia="方正小标宋简体" w:cs="方正小标宋简体"/>
          <w:color w:val="auto"/>
          <w:kern w:val="44"/>
          <w:sz w:val="26"/>
          <w:szCs w:val="26"/>
          <w:u w:val="none"/>
        </w:rPr>
        <w:t>年预算绩效管理情况</w:t>
      </w:r>
      <w:r>
        <w:tab/>
      </w:r>
      <w:r>
        <w:fldChar w:fldCharType="begin"/>
      </w:r>
      <w:r>
        <w:instrText xml:space="preserve"> PAGEREF _Toc91771922 \h </w:instrText>
      </w:r>
      <w:r>
        <w:fldChar w:fldCharType="separate"/>
      </w:r>
      <w:r>
        <w:t>28</w:t>
      </w:r>
      <w:r>
        <w:fldChar w:fldCharType="end"/>
      </w:r>
      <w:r>
        <w:fldChar w:fldCharType="end"/>
      </w:r>
    </w:p>
    <w:p>
      <w:pPr>
        <w:pStyle w:val="12"/>
        <w:tabs>
          <w:tab w:val="right" w:leader="dot" w:pos="8607"/>
        </w:tabs>
        <w:rPr>
          <w:rFonts w:asciiTheme="minorHAnsi" w:hAnsiTheme="minorHAnsi" w:eastAsiaTheme="minorEastAsia" w:cstheme="minorBidi"/>
          <w:kern w:val="2"/>
          <w:sz w:val="21"/>
        </w:rPr>
      </w:pPr>
      <w:r>
        <w:fldChar w:fldCharType="begin"/>
      </w:r>
      <w:r>
        <w:instrText xml:space="preserve"> HYPERLINK \l "_Toc91771923" </w:instrText>
      </w:r>
      <w:r>
        <w:fldChar w:fldCharType="separate"/>
      </w:r>
      <w:r>
        <w:rPr>
          <w:rStyle w:val="20"/>
          <w:rFonts w:hint="eastAsia" w:ascii="方正小标宋简体" w:hAnsi="方正小标宋简体" w:eastAsia="方正小标宋简体" w:cs="方正小标宋简体"/>
          <w:b/>
          <w:color w:val="auto"/>
          <w:kern w:val="44"/>
          <w:sz w:val="26"/>
          <w:szCs w:val="26"/>
          <w:u w:val="none"/>
        </w:rPr>
        <w:t>第三部分</w:t>
      </w:r>
      <w:r>
        <w:rPr>
          <w:rStyle w:val="20"/>
          <w:rFonts w:ascii="方正小标宋简体" w:hAnsi="方正小标宋简体" w:eastAsia="方正小标宋简体" w:cs="方正小标宋简体"/>
          <w:b/>
          <w:color w:val="auto"/>
          <w:kern w:val="44"/>
          <w:sz w:val="26"/>
          <w:szCs w:val="26"/>
          <w:u w:val="none"/>
        </w:rPr>
        <w:t>2022</w:t>
      </w:r>
      <w:r>
        <w:rPr>
          <w:rStyle w:val="20"/>
          <w:rFonts w:hint="eastAsia" w:ascii="方正小标宋简体" w:hAnsi="方正小标宋简体" w:eastAsia="方正小标宋简体" w:cs="方正小标宋简体"/>
          <w:b/>
          <w:color w:val="auto"/>
          <w:kern w:val="44"/>
          <w:sz w:val="26"/>
          <w:szCs w:val="26"/>
          <w:u w:val="none"/>
        </w:rPr>
        <w:t>年沧州临港经济技术开发区政府性基金预算（草案）</w:t>
      </w:r>
      <w:r>
        <w:tab/>
      </w:r>
      <w:r>
        <w:fldChar w:fldCharType="begin"/>
      </w:r>
      <w:r>
        <w:instrText xml:space="preserve"> PAGEREF _Toc91771923 \h </w:instrText>
      </w:r>
      <w:r>
        <w:fldChar w:fldCharType="separate"/>
      </w:r>
      <w:r>
        <w:t>31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"_Toc91771926" </w:instrText>
      </w:r>
      <w:r>
        <w:fldChar w:fldCharType="separate"/>
      </w:r>
      <w:r>
        <w:rPr>
          <w:rStyle w:val="20"/>
          <w:rFonts w:ascii="方正小标宋简体" w:hAnsi="方正小标宋简体" w:eastAsia="方正小标宋简体" w:cs="方正小标宋简体"/>
          <w:color w:val="auto"/>
          <w:kern w:val="44"/>
          <w:sz w:val="26"/>
          <w:szCs w:val="26"/>
          <w:u w:val="none"/>
        </w:rPr>
        <w:t>§1  2022</w:t>
      </w:r>
      <w:r>
        <w:rPr>
          <w:rStyle w:val="20"/>
          <w:rFonts w:hint="eastAsia" w:ascii="方正小标宋简体" w:hAnsi="方正小标宋简体" w:eastAsia="方正小标宋简体" w:cs="方正小标宋简体"/>
          <w:color w:val="auto"/>
          <w:kern w:val="44"/>
          <w:sz w:val="26"/>
          <w:szCs w:val="26"/>
          <w:u w:val="none"/>
        </w:rPr>
        <w:t>年政府性基金预算收支安排</w:t>
      </w:r>
      <w:r>
        <w:tab/>
      </w:r>
      <w:r>
        <w:fldChar w:fldCharType="begin"/>
      </w:r>
      <w:r>
        <w:instrText xml:space="preserve"> PAGEREF _Toc91771926 \h </w:instrText>
      </w:r>
      <w:r>
        <w:fldChar w:fldCharType="separate"/>
      </w:r>
      <w:r>
        <w:t>32</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"_Toc91771927" </w:instrText>
      </w:r>
      <w:r>
        <w:fldChar w:fldCharType="separate"/>
      </w:r>
      <w:r>
        <w:rPr>
          <w:rStyle w:val="20"/>
          <w:rFonts w:ascii="方正小标宋简体" w:hAnsi="方正小标宋简体" w:eastAsia="方正小标宋简体" w:cs="方正小标宋简体"/>
          <w:color w:val="auto"/>
          <w:kern w:val="44"/>
          <w:sz w:val="26"/>
          <w:szCs w:val="26"/>
          <w:u w:val="none"/>
        </w:rPr>
        <w:t>§2  2022</w:t>
      </w:r>
      <w:r>
        <w:rPr>
          <w:rStyle w:val="20"/>
          <w:rFonts w:hint="eastAsia" w:ascii="方正小标宋简体" w:hAnsi="方正小标宋简体" w:eastAsia="方正小标宋简体" w:cs="方正小标宋简体"/>
          <w:color w:val="auto"/>
          <w:kern w:val="44"/>
          <w:sz w:val="26"/>
          <w:szCs w:val="26"/>
          <w:u w:val="none"/>
        </w:rPr>
        <w:t>年政府性基金预算收入表</w:t>
      </w:r>
      <w:r>
        <w:tab/>
      </w:r>
      <w:r>
        <w:fldChar w:fldCharType="begin"/>
      </w:r>
      <w:r>
        <w:instrText xml:space="preserve"> PAGEREF _Toc91771927 \h </w:instrText>
      </w:r>
      <w:r>
        <w:fldChar w:fldCharType="separate"/>
      </w:r>
      <w:r>
        <w:t>35</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"_Toc91771928" </w:instrText>
      </w:r>
      <w:r>
        <w:fldChar w:fldCharType="separate"/>
      </w:r>
      <w:r>
        <w:rPr>
          <w:rStyle w:val="20"/>
          <w:rFonts w:ascii="方正小标宋简体" w:hAnsi="方正小标宋简体" w:eastAsia="方正小标宋简体" w:cs="方正小标宋简体"/>
          <w:color w:val="auto"/>
          <w:kern w:val="44"/>
          <w:sz w:val="26"/>
          <w:szCs w:val="26"/>
          <w:u w:val="none"/>
        </w:rPr>
        <w:t>§3  2022</w:t>
      </w:r>
      <w:r>
        <w:rPr>
          <w:rStyle w:val="20"/>
          <w:rFonts w:hint="eastAsia" w:ascii="方正小标宋简体" w:hAnsi="方正小标宋简体" w:eastAsia="方正小标宋简体" w:cs="方正小标宋简体"/>
          <w:color w:val="auto"/>
          <w:kern w:val="44"/>
          <w:sz w:val="26"/>
          <w:szCs w:val="26"/>
          <w:u w:val="none"/>
        </w:rPr>
        <w:t>年政府性基金预算支出安排情况表</w:t>
      </w:r>
      <w:r>
        <w:tab/>
      </w:r>
      <w:r>
        <w:fldChar w:fldCharType="begin"/>
      </w:r>
      <w:r>
        <w:instrText xml:space="preserve"> PAGEREF _Toc91771928 \h </w:instrText>
      </w:r>
      <w:r>
        <w:fldChar w:fldCharType="separate"/>
      </w:r>
      <w:r>
        <w:t>36</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"_Toc91771929" </w:instrText>
      </w:r>
      <w:r>
        <w:fldChar w:fldCharType="separate"/>
      </w:r>
      <w:r>
        <w:rPr>
          <w:rStyle w:val="20"/>
          <w:rFonts w:ascii="方正小标宋简体" w:hAnsi="方正小标宋简体" w:eastAsia="方正小标宋简体" w:cs="方正小标宋简体"/>
          <w:color w:val="auto"/>
          <w:kern w:val="44"/>
          <w:sz w:val="26"/>
          <w:szCs w:val="26"/>
          <w:u w:val="none"/>
        </w:rPr>
        <w:t>§4  2021</w:t>
      </w:r>
      <w:r>
        <w:rPr>
          <w:rStyle w:val="20"/>
          <w:rFonts w:hint="eastAsia" w:ascii="方正小标宋简体" w:hAnsi="方正小标宋简体" w:eastAsia="方正小标宋简体" w:cs="方正小标宋简体"/>
          <w:color w:val="auto"/>
          <w:kern w:val="44"/>
          <w:sz w:val="26"/>
          <w:szCs w:val="26"/>
          <w:u w:val="none"/>
        </w:rPr>
        <w:t>年政府性基金分项目安排情况表</w:t>
      </w:r>
      <w:r>
        <w:tab/>
      </w:r>
      <w:r>
        <w:fldChar w:fldCharType="begin"/>
      </w:r>
      <w:r>
        <w:instrText xml:space="preserve"> PAGEREF _Toc91771929 \h </w:instrText>
      </w:r>
      <w:r>
        <w:fldChar w:fldCharType="separate"/>
      </w:r>
      <w:r>
        <w:t>37</w:t>
      </w:r>
      <w:r>
        <w:fldChar w:fldCharType="end"/>
      </w:r>
      <w:r>
        <w:fldChar w:fldCharType="end"/>
      </w:r>
    </w:p>
    <w:p>
      <w:pPr>
        <w:pStyle w:val="12"/>
        <w:tabs>
          <w:tab w:val="right" w:leader="dot" w:pos="8607"/>
        </w:tabs>
        <w:rPr>
          <w:rFonts w:asciiTheme="minorHAnsi" w:hAnsiTheme="minorHAnsi" w:eastAsiaTheme="minorEastAsia" w:cstheme="minorBidi"/>
          <w:kern w:val="2"/>
          <w:sz w:val="21"/>
        </w:rPr>
      </w:pPr>
      <w:r>
        <w:fldChar w:fldCharType="begin"/>
      </w:r>
      <w:r>
        <w:instrText xml:space="preserve"> HYPERLINK \l "_Toc91771930" </w:instrText>
      </w:r>
      <w:r>
        <w:fldChar w:fldCharType="separate"/>
      </w:r>
      <w:r>
        <w:rPr>
          <w:rStyle w:val="20"/>
          <w:rFonts w:hint="eastAsia" w:ascii="方正小标宋简体" w:hAnsi="方正小标宋简体" w:eastAsia="方正小标宋简体" w:cs="方正小标宋简体"/>
          <w:b/>
          <w:color w:val="auto"/>
          <w:kern w:val="44"/>
          <w:sz w:val="26"/>
          <w:szCs w:val="26"/>
          <w:u w:val="none"/>
        </w:rPr>
        <w:t>第四部分</w:t>
      </w:r>
      <w:r>
        <w:rPr>
          <w:rStyle w:val="20"/>
          <w:rFonts w:ascii="方正小标宋简体" w:hAnsi="方正小标宋简体" w:eastAsia="方正小标宋简体" w:cs="方正小标宋简体"/>
          <w:b/>
          <w:color w:val="auto"/>
          <w:kern w:val="44"/>
          <w:sz w:val="26"/>
          <w:szCs w:val="26"/>
          <w:u w:val="none"/>
        </w:rPr>
        <w:t>2022</w:t>
      </w:r>
      <w:r>
        <w:rPr>
          <w:rStyle w:val="20"/>
          <w:rFonts w:hint="eastAsia" w:ascii="方正小标宋简体" w:hAnsi="方正小标宋简体" w:eastAsia="方正小标宋简体" w:cs="方正小标宋简体"/>
          <w:b/>
          <w:color w:val="auto"/>
          <w:kern w:val="44"/>
          <w:sz w:val="26"/>
          <w:szCs w:val="26"/>
          <w:u w:val="none"/>
        </w:rPr>
        <w:t>年沧州临港经济技术开发区国有资本经营预算（草案）</w:t>
      </w:r>
      <w:r>
        <w:tab/>
      </w:r>
      <w:r>
        <w:fldChar w:fldCharType="begin"/>
      </w:r>
      <w:r>
        <w:instrText xml:space="preserve"> PAGEREF _Toc91771930 \h </w:instrText>
      </w:r>
      <w:r>
        <w:fldChar w:fldCharType="separate"/>
      </w:r>
      <w:r>
        <w:t>39</w:t>
      </w:r>
      <w:r>
        <w:fldChar w:fldCharType="end"/>
      </w:r>
      <w:r>
        <w:fldChar w:fldCharType="end"/>
      </w:r>
    </w:p>
    <w:p>
      <w:pPr>
        <w:pStyle w:val="12"/>
        <w:tabs>
          <w:tab w:val="right" w:leader="dot" w:pos="8607"/>
        </w:tabs>
        <w:rPr>
          <w:rFonts w:asciiTheme="minorHAnsi" w:hAnsiTheme="minorHAnsi" w:eastAsiaTheme="minorEastAsia" w:cstheme="minorBidi"/>
          <w:kern w:val="2"/>
          <w:sz w:val="21"/>
        </w:rPr>
      </w:pPr>
      <w:r>
        <w:fldChar w:fldCharType="begin"/>
      </w:r>
      <w:r>
        <w:instrText xml:space="preserve"> HYPERLINK \l "_Toc91771933" </w:instrText>
      </w:r>
      <w:r>
        <w:fldChar w:fldCharType="separate"/>
      </w:r>
      <w:r>
        <w:rPr>
          <w:rStyle w:val="20"/>
          <w:rFonts w:hint="eastAsia" w:ascii="方正小标宋简体" w:hAnsi="方正小标宋简体" w:eastAsia="方正小标宋简体" w:cs="方正小标宋简体"/>
          <w:b/>
          <w:color w:val="auto"/>
          <w:kern w:val="44"/>
          <w:sz w:val="26"/>
          <w:szCs w:val="26"/>
          <w:u w:val="none"/>
        </w:rPr>
        <w:t>第五部分</w:t>
      </w:r>
      <w:r>
        <w:rPr>
          <w:rStyle w:val="20"/>
          <w:rFonts w:ascii="方正小标宋简体" w:hAnsi="方正小标宋简体" w:eastAsia="方正小标宋简体" w:cs="方正小标宋简体"/>
          <w:b/>
          <w:color w:val="auto"/>
          <w:kern w:val="44"/>
          <w:sz w:val="26"/>
          <w:szCs w:val="26"/>
          <w:u w:val="none"/>
        </w:rPr>
        <w:t>2022</w:t>
      </w:r>
      <w:r>
        <w:rPr>
          <w:rStyle w:val="20"/>
          <w:rFonts w:hint="eastAsia" w:ascii="方正小标宋简体" w:hAnsi="方正小标宋简体" w:eastAsia="方正小标宋简体" w:cs="方正小标宋简体"/>
          <w:b/>
          <w:color w:val="auto"/>
          <w:kern w:val="44"/>
          <w:sz w:val="26"/>
          <w:szCs w:val="26"/>
          <w:u w:val="none"/>
        </w:rPr>
        <w:t>年沧州临港经济技术开发区社会保险基金预算（草案）</w:t>
      </w:r>
      <w:r>
        <w:tab/>
      </w:r>
      <w:r>
        <w:fldChar w:fldCharType="begin"/>
      </w:r>
      <w:r>
        <w:instrText xml:space="preserve"> PAGEREF _Toc91771933 \h </w:instrText>
      </w:r>
      <w:r>
        <w:fldChar w:fldCharType="separate"/>
      </w:r>
      <w:r>
        <w:t>41</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"_Toc91771936" </w:instrText>
      </w:r>
      <w:r>
        <w:fldChar w:fldCharType="separate"/>
      </w:r>
      <w:r>
        <w:rPr>
          <w:rStyle w:val="20"/>
          <w:rFonts w:ascii="方正小标宋简体" w:hAnsi="方正小标宋简体" w:eastAsia="方正小标宋简体" w:cs="方正小标宋简体"/>
          <w:color w:val="auto"/>
          <w:kern w:val="44"/>
          <w:sz w:val="26"/>
          <w:szCs w:val="26"/>
          <w:u w:val="none"/>
        </w:rPr>
        <w:t>§1   2022</w:t>
      </w:r>
      <w:r>
        <w:rPr>
          <w:rStyle w:val="20"/>
          <w:rFonts w:hint="eastAsia" w:ascii="方正小标宋简体" w:hAnsi="方正小标宋简体" w:eastAsia="方正小标宋简体" w:cs="方正小标宋简体"/>
          <w:color w:val="auto"/>
          <w:kern w:val="44"/>
          <w:sz w:val="26"/>
          <w:szCs w:val="26"/>
          <w:u w:val="none"/>
        </w:rPr>
        <w:t>年社会保险基金预算基本情况</w:t>
      </w:r>
      <w:r>
        <w:tab/>
      </w:r>
      <w:r>
        <w:fldChar w:fldCharType="begin"/>
      </w:r>
      <w:r>
        <w:instrText xml:space="preserve"> PAGEREF _Toc91771936 \h </w:instrText>
      </w:r>
      <w:r>
        <w:fldChar w:fldCharType="separate"/>
      </w:r>
      <w:r>
        <w:t>44</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"_Toc91771937" </w:instrText>
      </w:r>
      <w:r>
        <w:fldChar w:fldCharType="separate"/>
      </w:r>
      <w:r>
        <w:rPr>
          <w:rStyle w:val="20"/>
          <w:rFonts w:ascii="方正小标宋简体" w:hAnsi="方正小标宋简体" w:eastAsia="方正小标宋简体" w:cs="方正小标宋简体"/>
          <w:color w:val="auto"/>
          <w:kern w:val="44"/>
          <w:sz w:val="26"/>
          <w:szCs w:val="26"/>
          <w:u w:val="none"/>
        </w:rPr>
        <w:t>§2  2022</w:t>
      </w:r>
      <w:r>
        <w:rPr>
          <w:rStyle w:val="20"/>
          <w:rFonts w:hint="eastAsia" w:ascii="方正小标宋简体" w:hAnsi="方正小标宋简体" w:eastAsia="方正小标宋简体" w:cs="方正小标宋简体"/>
          <w:color w:val="auto"/>
          <w:kern w:val="44"/>
          <w:sz w:val="26"/>
          <w:szCs w:val="26"/>
          <w:u w:val="none"/>
        </w:rPr>
        <w:t>年社会保险基金收支预算平衡表</w:t>
      </w:r>
      <w:r>
        <w:tab/>
      </w:r>
      <w:r>
        <w:fldChar w:fldCharType="begin"/>
      </w:r>
      <w:r>
        <w:instrText xml:space="preserve"> PAGEREF _Toc91771937 \h </w:instrText>
      </w:r>
      <w:r>
        <w:fldChar w:fldCharType="separate"/>
      </w:r>
      <w:r>
        <w:t>45</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"_Toc91771938" </w:instrText>
      </w:r>
      <w:r>
        <w:fldChar w:fldCharType="separate"/>
      </w:r>
      <w:r>
        <w:rPr>
          <w:rStyle w:val="20"/>
          <w:rFonts w:ascii="方正小标宋简体" w:hAnsi="方正小标宋简体" w:eastAsia="方正小标宋简体" w:cs="方正小标宋简体"/>
          <w:color w:val="auto"/>
          <w:kern w:val="44"/>
          <w:sz w:val="26"/>
          <w:szCs w:val="26"/>
          <w:u w:val="none"/>
        </w:rPr>
        <w:t>§3  2022</w:t>
      </w:r>
      <w:r>
        <w:rPr>
          <w:rStyle w:val="20"/>
          <w:rFonts w:hint="eastAsia" w:ascii="方正小标宋简体" w:hAnsi="方正小标宋简体" w:eastAsia="方正小标宋简体" w:cs="方正小标宋简体"/>
          <w:color w:val="auto"/>
          <w:kern w:val="44"/>
          <w:sz w:val="26"/>
          <w:szCs w:val="26"/>
          <w:u w:val="none"/>
        </w:rPr>
        <w:t>年社会保险基金收入预算安排情况表</w:t>
      </w:r>
      <w:r>
        <w:tab/>
      </w:r>
      <w:r>
        <w:fldChar w:fldCharType="begin"/>
      </w:r>
      <w:r>
        <w:instrText xml:space="preserve"> PAGEREF _Toc91771938 \h </w:instrText>
      </w:r>
      <w:r>
        <w:fldChar w:fldCharType="separate"/>
      </w:r>
      <w:r>
        <w:t>45</w:t>
      </w:r>
      <w:r>
        <w:fldChar w:fldCharType="end"/>
      </w:r>
      <w:r>
        <w:fldChar w:fldCharType="end"/>
      </w:r>
    </w:p>
    <w:p>
      <w:pPr>
        <w:pStyle w:val="13"/>
        <w:tabs>
          <w:tab w:val="right" w:leader="dot" w:pos="8607"/>
        </w:tabs>
        <w:rPr>
          <w:rFonts w:asciiTheme="minorHAnsi" w:hAnsiTheme="minorHAnsi" w:eastAsiaTheme="minorEastAsia" w:cstheme="minorBidi"/>
          <w:kern w:val="2"/>
          <w:sz w:val="21"/>
        </w:rPr>
      </w:pPr>
      <w:r>
        <w:fldChar w:fldCharType="begin"/>
      </w:r>
      <w:r>
        <w:instrText xml:space="preserve"> HYPERLINK \l "_Toc91771939" </w:instrText>
      </w:r>
      <w:r>
        <w:fldChar w:fldCharType="separate"/>
      </w:r>
      <w:r>
        <w:rPr>
          <w:rStyle w:val="20"/>
          <w:rFonts w:ascii="方正小标宋简体" w:hAnsi="方正小标宋简体" w:eastAsia="方正小标宋简体" w:cs="方正小标宋简体"/>
          <w:color w:val="auto"/>
          <w:kern w:val="44"/>
          <w:sz w:val="26"/>
          <w:szCs w:val="26"/>
          <w:u w:val="none"/>
        </w:rPr>
        <w:t>§4  2022</w:t>
      </w:r>
      <w:r>
        <w:rPr>
          <w:rStyle w:val="20"/>
          <w:rFonts w:hint="eastAsia" w:ascii="方正小标宋简体" w:hAnsi="方正小标宋简体" w:eastAsia="方正小标宋简体" w:cs="方正小标宋简体"/>
          <w:color w:val="auto"/>
          <w:kern w:val="44"/>
          <w:sz w:val="26"/>
          <w:szCs w:val="26"/>
          <w:u w:val="none"/>
        </w:rPr>
        <w:t>年社会保险基金支出预算安排情况表</w:t>
      </w:r>
      <w:r>
        <w:tab/>
      </w:r>
      <w:r>
        <w:fldChar w:fldCharType="begin"/>
      </w:r>
      <w:r>
        <w:instrText xml:space="preserve"> PAGEREF _Toc91771939 \h </w:instrText>
      </w:r>
      <w:r>
        <w:fldChar w:fldCharType="separate"/>
      </w:r>
      <w:r>
        <w:t>46</w:t>
      </w:r>
      <w:r>
        <w:fldChar w:fldCharType="end"/>
      </w:r>
      <w:r>
        <w:fldChar w:fldCharType="end"/>
      </w:r>
    </w:p>
    <w:p>
      <w:pPr>
        <w:snapToGrid w:val="0"/>
        <w:spacing w:line="240" w:lineRule="atLeast"/>
        <w:rPr>
          <w:rFonts w:ascii="仿宋_GB2312" w:hAnsi="Calibri" w:eastAsia="仿宋_GB2312"/>
          <w:kern w:val="0"/>
          <w:sz w:val="26"/>
          <w:szCs w:val="26"/>
        </w:rPr>
      </w:pPr>
      <w:r>
        <w:rPr>
          <w:rFonts w:ascii="仿宋_GB2312" w:hAnsi="Calibri" w:eastAsia="仿宋_GB2312"/>
          <w:kern w:val="0"/>
          <w:sz w:val="26"/>
          <w:szCs w:val="26"/>
        </w:rPr>
        <w:fldChar w:fldCharType="end"/>
      </w:r>
      <w:bookmarkStart w:id="0" w:name="_Toc500947588"/>
      <w:bookmarkStart w:id="1" w:name="_Toc64555270"/>
    </w:p>
    <w:p>
      <w:pPr>
        <w:snapToGrid w:val="0"/>
        <w:spacing w:line="50" w:lineRule="atLeast"/>
        <w:rPr>
          <w:rFonts w:ascii="仿宋_GB2312" w:hAnsi="Calibri" w:eastAsia="仿宋_GB2312"/>
          <w:kern w:val="0"/>
          <w:sz w:val="26"/>
          <w:szCs w:val="26"/>
        </w:rPr>
      </w:pPr>
    </w:p>
    <w:p>
      <w:pPr>
        <w:snapToGrid w:val="0"/>
        <w:spacing w:line="50" w:lineRule="atLeast"/>
        <w:rPr>
          <w:rFonts w:ascii="仿宋_GB2312" w:hAnsi="Calibri" w:eastAsia="仿宋_GB2312"/>
          <w:kern w:val="0"/>
          <w:sz w:val="26"/>
          <w:szCs w:val="26"/>
        </w:rPr>
      </w:pPr>
    </w:p>
    <w:p>
      <w:pPr>
        <w:snapToGrid w:val="0"/>
        <w:spacing w:line="50" w:lineRule="atLeast"/>
        <w:rPr>
          <w:rFonts w:ascii="仿宋_GB2312" w:hAnsi="Calibri" w:eastAsia="仿宋_GB2312"/>
          <w:kern w:val="0"/>
          <w:sz w:val="26"/>
          <w:szCs w:val="26"/>
        </w:rPr>
      </w:pPr>
    </w:p>
    <w:p>
      <w:pPr>
        <w:snapToGrid w:val="0"/>
        <w:spacing w:line="50" w:lineRule="atLeast"/>
        <w:rPr>
          <w:rFonts w:ascii="仿宋_GB2312" w:hAnsi="Calibri" w:eastAsia="仿宋_GB2312"/>
          <w:kern w:val="0"/>
          <w:sz w:val="26"/>
          <w:szCs w:val="26"/>
        </w:rPr>
      </w:pPr>
    </w:p>
    <w:p>
      <w:pPr>
        <w:snapToGrid w:val="0"/>
        <w:spacing w:line="50" w:lineRule="atLeast"/>
        <w:rPr>
          <w:rFonts w:ascii="方正小标宋简体" w:hAnsi="方正小标宋简体" w:eastAsia="方正小标宋简体" w:cs="方正小标宋简体"/>
          <w:b/>
          <w:color w:val="000000"/>
          <w:kern w:val="0"/>
          <w:sz w:val="52"/>
          <w:szCs w:val="52"/>
          <w:lang w:bidi="en-US"/>
        </w:rPr>
        <w:sectPr>
          <w:footerReference r:id="rId8" w:type="first"/>
          <w:footerReference r:id="rId6" w:type="default"/>
          <w:footerReference r:id="rId7" w:type="even"/>
          <w:pgSz w:w="11906" w:h="16838"/>
          <w:pgMar w:top="1440" w:right="1701" w:bottom="1440" w:left="1588" w:header="709" w:footer="709" w:gutter="0"/>
          <w:pgNumType w:start="1"/>
          <w:cols w:space="708" w:num="1"/>
          <w:titlePg/>
          <w:docGrid w:type="lines" w:linePitch="360" w:charSpace="0"/>
        </w:sectPr>
      </w:pPr>
    </w:p>
    <w:p>
      <w:pPr>
        <w:snapToGrid w:val="0"/>
        <w:spacing w:line="50" w:lineRule="atLeast"/>
        <w:rPr>
          <w:rFonts w:ascii="方正小标宋简体" w:hAnsi="方正小标宋简体" w:eastAsia="方正小标宋简体" w:cs="方正小标宋简体"/>
          <w:b/>
          <w:color w:val="000000"/>
          <w:kern w:val="0"/>
          <w:sz w:val="52"/>
          <w:szCs w:val="52"/>
          <w:lang w:bidi="en-US"/>
        </w:rPr>
      </w:pPr>
    </w:p>
    <w:p>
      <w:pPr>
        <w:snapToGrid w:val="0"/>
        <w:spacing w:line="50" w:lineRule="atLeast"/>
        <w:rPr>
          <w:rFonts w:ascii="方正小标宋简体" w:hAnsi="方正小标宋简体" w:eastAsia="方正小标宋简体" w:cs="方正小标宋简体"/>
          <w:b/>
          <w:color w:val="000000"/>
          <w:kern w:val="0"/>
          <w:sz w:val="52"/>
          <w:szCs w:val="52"/>
          <w:lang w:bidi="en-US"/>
        </w:rPr>
      </w:pPr>
    </w:p>
    <w:p>
      <w:pPr>
        <w:pStyle w:val="2"/>
        <w:jc w:val="both"/>
        <w:rPr>
          <w:rStyle w:val="20"/>
          <w:rFonts w:ascii="方正小标宋简体" w:hAnsi="方正小标宋简体" w:eastAsia="方正小标宋简体" w:cs="方正小标宋简体"/>
          <w:bCs w:val="0"/>
          <w:color w:val="auto"/>
          <w:szCs w:val="52"/>
          <w:u w:val="none"/>
        </w:rPr>
      </w:pPr>
      <w:bookmarkStart w:id="2" w:name="_Toc91771905"/>
    </w:p>
    <w:p>
      <w:pPr>
        <w:pStyle w:val="2"/>
        <w:rPr>
          <w:rStyle w:val="20"/>
          <w:rFonts w:ascii="方正小标宋简体" w:hAnsi="方正小标宋简体" w:eastAsia="方正小标宋简体" w:cs="方正小标宋简体"/>
          <w:bCs w:val="0"/>
          <w:color w:val="auto"/>
          <w:szCs w:val="52"/>
          <w:u w:val="none"/>
        </w:rPr>
      </w:pPr>
    </w:p>
    <w:p>
      <w:pPr>
        <w:pStyle w:val="2"/>
        <w:rPr>
          <w:rFonts w:asciiTheme="majorEastAsia" w:hAnsiTheme="majorEastAsia"/>
          <w:kern w:val="0"/>
          <w:szCs w:val="52"/>
          <w:lang w:bidi="en-US"/>
        </w:rPr>
      </w:pPr>
      <w:r>
        <w:rPr>
          <w:rStyle w:val="20"/>
          <w:rFonts w:hint="eastAsia" w:ascii="方正小标宋简体" w:hAnsi="方正小标宋简体" w:eastAsia="方正小标宋简体" w:cs="方正小标宋简体"/>
          <w:bCs w:val="0"/>
          <w:color w:val="auto"/>
          <w:szCs w:val="52"/>
          <w:u w:val="none"/>
        </w:rPr>
        <w:t>第一部分</w:t>
      </w:r>
      <w:bookmarkEnd w:id="2"/>
      <w:r>
        <w:rPr>
          <w:rFonts w:asciiTheme="majorEastAsia" w:hAnsiTheme="majorEastAsia"/>
          <w:kern w:val="0"/>
          <w:szCs w:val="52"/>
          <w:lang w:bidi="en-US"/>
        </w:rPr>
        <w:t xml:space="preserve">  </w:t>
      </w:r>
    </w:p>
    <w:p>
      <w:pPr>
        <w:pStyle w:val="2"/>
        <w:rPr>
          <w:rStyle w:val="20"/>
          <w:rFonts w:ascii="方正小标宋简体" w:hAnsi="方正小标宋简体" w:eastAsia="方正小标宋简体" w:cs="方正小标宋简体"/>
          <w:bCs w:val="0"/>
          <w:color w:val="auto"/>
          <w:szCs w:val="52"/>
          <w:u w:val="none"/>
        </w:rPr>
      </w:pPr>
      <w:bookmarkStart w:id="3" w:name="_Toc91510377"/>
      <w:bookmarkStart w:id="4" w:name="_Toc91771906"/>
      <w:bookmarkStart w:id="5" w:name="_Toc91439455"/>
      <w:r>
        <w:rPr>
          <w:rStyle w:val="20"/>
          <w:rFonts w:hint="eastAsia" w:ascii="方正小标宋简体" w:hAnsi="方正小标宋简体" w:eastAsia="方正小标宋简体" w:cs="方正小标宋简体"/>
          <w:bCs w:val="0"/>
          <w:color w:val="auto"/>
          <w:szCs w:val="52"/>
          <w:u w:val="none"/>
        </w:rPr>
        <w:t>2022年财政形势及预算编制</w:t>
      </w:r>
      <w:bookmarkEnd w:id="3"/>
      <w:bookmarkEnd w:id="4"/>
      <w:bookmarkEnd w:id="5"/>
    </w:p>
    <w:p>
      <w:pPr>
        <w:pStyle w:val="2"/>
        <w:rPr>
          <w:rStyle w:val="20"/>
          <w:rFonts w:ascii="方正小标宋简体" w:hAnsi="方正小标宋简体" w:eastAsia="方正小标宋简体" w:cs="方正小标宋简体"/>
          <w:bCs w:val="0"/>
          <w:color w:val="auto"/>
          <w:szCs w:val="52"/>
          <w:u w:val="none"/>
        </w:rPr>
      </w:pPr>
      <w:bookmarkStart w:id="6" w:name="_Toc91510378"/>
      <w:bookmarkStart w:id="7" w:name="_Toc91771907"/>
      <w:bookmarkStart w:id="8" w:name="_Toc91439456"/>
      <w:r>
        <w:rPr>
          <w:rStyle w:val="20"/>
          <w:rFonts w:hint="eastAsia" w:ascii="方正小标宋简体" w:hAnsi="方正小标宋简体" w:eastAsia="方正小标宋简体" w:cs="方正小标宋简体"/>
          <w:bCs w:val="0"/>
          <w:color w:val="auto"/>
          <w:szCs w:val="52"/>
          <w:u w:val="none"/>
        </w:rPr>
        <w:t>总体纲要</w:t>
      </w:r>
      <w:bookmarkEnd w:id="0"/>
      <w:bookmarkEnd w:id="1"/>
      <w:bookmarkEnd w:id="6"/>
      <w:bookmarkEnd w:id="7"/>
      <w:bookmarkEnd w:id="8"/>
    </w:p>
    <w:p>
      <w:pPr>
        <w:pStyle w:val="4"/>
        <w:jc w:val="center"/>
        <w:rPr>
          <w:rFonts w:ascii="仿宋_GB2312" w:eastAsia="仿宋_GB2312"/>
          <w:color w:val="000000" w:themeColor="text1"/>
        </w:rPr>
      </w:pPr>
      <w:bookmarkStart w:id="9" w:name="_Toc64555271"/>
      <w:bookmarkStart w:id="10" w:name="_Toc500947589"/>
    </w:p>
    <w:p/>
    <w:p/>
    <w:p/>
    <w:p/>
    <w:p/>
    <w:p>
      <w:pPr>
        <w:pStyle w:val="4"/>
        <w:jc w:val="center"/>
        <w:rPr>
          <w:rFonts w:ascii="仿宋_GB2312" w:eastAsia="仿宋_GB2312"/>
          <w:color w:val="000000" w:themeColor="text1"/>
        </w:rPr>
      </w:pPr>
    </w:p>
    <w:p>
      <w:pPr>
        <w:spacing w:line="600" w:lineRule="exact"/>
        <w:rPr>
          <w:rFonts w:ascii="方正小标宋简体" w:hAnsi="黑体" w:eastAsia="方正小标宋简体"/>
          <w:kern w:val="0"/>
          <w:sz w:val="36"/>
          <w:szCs w:val="36"/>
          <w:lang w:bidi="en-US"/>
        </w:rPr>
      </w:pPr>
    </w:p>
    <w:p>
      <w:pPr>
        <w:pStyle w:val="3"/>
        <w:rPr>
          <w:rFonts w:ascii="方正小标宋简体" w:hAnsi="方正小标宋简体" w:eastAsia="方正小标宋简体" w:cs="方正小标宋简体"/>
          <w:bCs w:val="0"/>
          <w:kern w:val="44"/>
          <w:szCs w:val="36"/>
        </w:rPr>
      </w:pPr>
      <w:bookmarkStart w:id="11" w:name="_Toc91771908"/>
      <w:r>
        <w:rPr>
          <w:rStyle w:val="20"/>
          <w:rFonts w:hint="eastAsia" w:ascii="方正小标宋简体" w:hAnsi="方正小标宋简体" w:eastAsia="方正小标宋简体" w:cs="方正小标宋简体"/>
          <w:bCs w:val="0"/>
          <w:color w:val="auto"/>
          <w:kern w:val="44"/>
          <w:szCs w:val="36"/>
          <w:u w:val="none"/>
        </w:rPr>
        <w:t>§</w:t>
      </w:r>
      <w:r>
        <w:rPr>
          <w:rStyle w:val="20"/>
          <w:rFonts w:ascii="方正小标宋简体" w:hAnsi="方正小标宋简体" w:eastAsia="方正小标宋简体" w:cs="方正小标宋简体"/>
          <w:bCs w:val="0"/>
          <w:color w:val="auto"/>
          <w:kern w:val="44"/>
          <w:szCs w:val="36"/>
          <w:u w:val="none"/>
        </w:rPr>
        <w:t xml:space="preserve">1  </w:t>
      </w:r>
      <w:r>
        <w:rPr>
          <w:rStyle w:val="20"/>
          <w:rFonts w:hint="eastAsia" w:ascii="方正小标宋简体" w:hAnsi="方正小标宋简体" w:eastAsia="方正小标宋简体" w:cs="方正小标宋简体"/>
          <w:bCs w:val="0"/>
          <w:color w:val="auto"/>
          <w:kern w:val="44"/>
          <w:szCs w:val="36"/>
          <w:u w:val="none"/>
        </w:rPr>
        <w:t>财政经济形势及经济社会发展主要预期目标</w:t>
      </w:r>
      <w:bookmarkEnd w:id="9"/>
      <w:bookmarkEnd w:id="10"/>
      <w:bookmarkEnd w:id="11"/>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一、财政经济形势</w:t>
      </w:r>
    </w:p>
    <w:p>
      <w:pPr>
        <w:ind w:firstLine="600" w:firstLineChars="200"/>
        <w:rPr>
          <w:rFonts w:ascii="仿宋_GB2312" w:eastAsia="仿宋_GB2312"/>
          <w:color w:val="000000" w:themeColor="text1"/>
          <w:sz w:val="30"/>
          <w:szCs w:val="30"/>
        </w:rPr>
      </w:pPr>
      <w:r>
        <w:rPr>
          <w:rFonts w:ascii="仿宋_GB2312" w:eastAsia="仿宋_GB2312"/>
          <w:color w:val="000000" w:themeColor="text1"/>
          <w:sz w:val="30"/>
          <w:szCs w:val="30"/>
        </w:rPr>
        <w:t>20</w:t>
      </w:r>
      <w:r>
        <w:rPr>
          <w:rFonts w:hint="eastAsia" w:ascii="仿宋_GB2312" w:eastAsia="仿宋_GB2312"/>
          <w:color w:val="000000" w:themeColor="text1"/>
          <w:sz w:val="30"/>
          <w:szCs w:val="30"/>
        </w:rPr>
        <w:t>21年，在沧州市委、市政府，渤海新区党工委、管委会，临港开发区党工委、管委会的正确领导下，临港开发区团结广大党员干部群众，坚持改革创新、稳中求进的主基调，主动抢抓“四大机遇”，充分发挥财政政策引导作用，助力传统产业转型升级，激发微观市场主体活力，强化高质量财源建设。全年预算执行情况良好，我区一般公共预算收入完成7亿元。</w:t>
      </w:r>
    </w:p>
    <w:p>
      <w:pPr>
        <w:ind w:firstLine="600" w:firstLineChars="200"/>
        <w:rPr>
          <w:rFonts w:ascii="宋体" w:hAnsi="宋体"/>
          <w:color w:val="000000"/>
          <w:shd w:val="clear" w:color="auto" w:fill="FFFFFF"/>
        </w:rPr>
      </w:pPr>
      <w:r>
        <w:rPr>
          <w:rFonts w:hint="eastAsia" w:ascii="仿宋_GB2312" w:eastAsia="仿宋_GB2312"/>
          <w:color w:val="000000" w:themeColor="text1"/>
          <w:sz w:val="30"/>
          <w:szCs w:val="30"/>
        </w:rPr>
        <w:t>2022年是实施“十四五”规划的第二年，我国经济形势面临“长期向好”的基本面与“需求收缩、供给冲击、预期转弱”三重压力相互博弈的态势，我区继续深入贯彻党的十九届六中全会、省委九届十四次全会，市委十届一次全会精神，严格按照“严细深实快”作风教育要求，坚持高质量发展理念，坚持以供给侧结构性改革为主线，以改革开放为根本动力，以创新发展为内核动能，以“突出特色、发挥优势、产城共兴”为主基调，以京津冀协同发展为抓手，继续深化体制机制改革，发扬多干少说、善</w:t>
      </w:r>
      <w:r>
        <w:rPr>
          <w:rFonts w:hint="eastAsia" w:ascii="仿宋_GB2312" w:eastAsia="仿宋_GB2312"/>
          <w:color w:val="000000" w:themeColor="text1"/>
          <w:sz w:val="30"/>
          <w:szCs w:val="30"/>
          <w:lang w:eastAsia="zh-CN"/>
        </w:rPr>
        <w:t>作</w:t>
      </w:r>
      <w:r>
        <w:rPr>
          <w:rFonts w:hint="eastAsia" w:ascii="仿宋_GB2312" w:eastAsia="仿宋_GB2312"/>
          <w:color w:val="000000" w:themeColor="text1"/>
          <w:sz w:val="30"/>
          <w:szCs w:val="30"/>
        </w:rPr>
        <w:t>善成的优良作风，扎实推进率先发展、转型发展、创新发展、协调发展、绿色发展、开放发展、共享发展。奋力打造全省沿海经济带重要增长极和改革开放新高地。</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2022年我区一般公共财政预算收入预计完成8.096亿元，预计增长15</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二、经济社会发展主要预期目标</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2022年财政预算紧紧围绕实现全区经济社会发展主要预期目标进行安排，经济社会发展主要目标为：</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（一）地区生产总值增长10</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（二）一般公共财政预算收入增长15</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（三）固定资产投资增长5</w:t>
      </w:r>
      <w:r>
        <w:rPr>
          <w:rFonts w:ascii="仿宋_GB2312" w:eastAsia="仿宋_GB2312"/>
          <w:color w:val="000000" w:themeColor="text1"/>
          <w:sz w:val="30"/>
          <w:szCs w:val="30"/>
        </w:rPr>
        <w:t>%</w:t>
      </w:r>
      <w:r>
        <w:rPr>
          <w:rFonts w:hint="eastAsia" w:ascii="仿宋_GB2312" w:eastAsia="仿宋_GB2312"/>
          <w:color w:val="000000" w:themeColor="text1"/>
          <w:sz w:val="30"/>
          <w:szCs w:val="30"/>
        </w:rPr>
        <w:t>。</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（四）规模以上工业增加值增长10%。</w:t>
      </w: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rPr>
          <w:rFonts w:ascii="方正小标宋简体" w:hAnsi="方正小标宋简体" w:eastAsia="方正小标宋简体" w:cs="方正小标宋简体"/>
          <w:bCs w:val="0"/>
          <w:kern w:val="44"/>
          <w:szCs w:val="36"/>
        </w:rPr>
      </w:pPr>
      <w:bookmarkStart w:id="12" w:name="_Toc91771909"/>
      <w:bookmarkStart w:id="13" w:name="_Toc64555272"/>
      <w:bookmarkStart w:id="14" w:name="_Toc500947590"/>
      <w:r>
        <w:rPr>
          <w:rStyle w:val="20"/>
          <w:rFonts w:hint="eastAsia" w:ascii="方正小标宋简体" w:hAnsi="方正小标宋简体" w:eastAsia="方正小标宋简体" w:cs="方正小标宋简体"/>
          <w:bCs w:val="0"/>
          <w:color w:val="auto"/>
          <w:kern w:val="44"/>
          <w:szCs w:val="36"/>
          <w:u w:val="none"/>
        </w:rPr>
        <w:t>§</w:t>
      </w:r>
      <w:r>
        <w:rPr>
          <w:rStyle w:val="20"/>
          <w:rFonts w:ascii="方正小标宋简体" w:hAnsi="方正小标宋简体" w:eastAsia="方正小标宋简体" w:cs="方正小标宋简体"/>
          <w:bCs w:val="0"/>
          <w:color w:val="auto"/>
          <w:kern w:val="44"/>
          <w:szCs w:val="36"/>
          <w:u w:val="none"/>
        </w:rPr>
        <w:t xml:space="preserve">2  </w:t>
      </w:r>
      <w:r>
        <w:rPr>
          <w:rStyle w:val="20"/>
          <w:rFonts w:hint="eastAsia" w:ascii="方正小标宋简体" w:hAnsi="方正小标宋简体" w:eastAsia="方正小标宋简体" w:cs="方正小标宋简体"/>
          <w:bCs w:val="0"/>
          <w:color w:val="auto"/>
          <w:kern w:val="44"/>
          <w:szCs w:val="36"/>
          <w:u w:val="none"/>
        </w:rPr>
        <w:t>预算编制的指导思想和编制原则</w:t>
      </w:r>
      <w:bookmarkEnd w:id="12"/>
      <w:bookmarkEnd w:id="13"/>
      <w:bookmarkEnd w:id="14"/>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一、预算编制的指导思想和编制原则</w:t>
      </w:r>
    </w:p>
    <w:p>
      <w:pPr>
        <w:snapToGrid w:val="0"/>
        <w:spacing w:line="360" w:lineRule="auto"/>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2022年全区预算安排的指导思想是：以习近平新时代中国特色社会主义思想为指导，全面贯彻党的十九大和十九届二中、三中、四中、五中、六中全会</w:t>
      </w:r>
      <w:r>
        <w:rPr>
          <w:rFonts w:ascii="仿宋_GB2312" w:eastAsia="仿宋_GB2312"/>
          <w:color w:val="000000" w:themeColor="text1"/>
          <w:sz w:val="30"/>
          <w:szCs w:val="30"/>
        </w:rPr>
        <w:t>精神</w:t>
      </w:r>
      <w:r>
        <w:rPr>
          <w:rFonts w:hint="eastAsia" w:ascii="仿宋_GB2312" w:eastAsia="仿宋_GB2312"/>
          <w:color w:val="000000" w:themeColor="text1"/>
          <w:sz w:val="30"/>
          <w:szCs w:val="30"/>
        </w:rPr>
        <w:t>，紧紧围绕省委“三六八九”总体思路，坚持“稳字当头、稳中求进”工作总基调，牢固树立“率先、创新、转型、协调、绿色、开放、共享”的发展理念，认真落实《预算法》，积极应对经济新常态下财政领域的趋势性变化，全面落实稳增长、调结构、惠民生、促改革的各项财税政策措施，促进经济转型升级；完善政府预算体系，健全财政资金统筹使用机制；优化财政支出结构，优先保障民生、重大政策落实和重点项目支出需要，巩固疫情防控和经济社会发展成果，更好统筹发展和安全，继续做好“六稳”工作，落实“六保”任务。努力为全区经济社会更好更快发展提供有力支撑。</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根据上述预算编制指导思想，2022年区级预算编制要坚持以下原则：</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w:t>
      </w:r>
      <w:r>
        <w:rPr>
          <w:rFonts w:ascii="仿宋_GB2312" w:eastAsia="仿宋_GB2312"/>
          <w:b/>
          <w:color w:val="000000" w:themeColor="text1"/>
          <w:sz w:val="30"/>
          <w:szCs w:val="30"/>
        </w:rPr>
        <w:t xml:space="preserve"> </w:t>
      </w:r>
      <w:r>
        <w:rPr>
          <w:rFonts w:hint="eastAsia" w:ascii="仿宋_GB2312" w:eastAsia="仿宋_GB2312"/>
          <w:b/>
          <w:color w:val="000000" w:themeColor="text1"/>
          <w:sz w:val="30"/>
          <w:szCs w:val="30"/>
        </w:rPr>
        <w:t>深化改革。</w:t>
      </w:r>
      <w:r>
        <w:rPr>
          <w:rFonts w:hint="eastAsia" w:ascii="仿宋_GB2312" w:eastAsia="仿宋_GB2312"/>
          <w:color w:val="000000" w:themeColor="text1"/>
          <w:sz w:val="30"/>
          <w:szCs w:val="30"/>
        </w:rPr>
        <w:t>深入贯彻落实中央、省、市有关政府预算体系、预算管理制度及绩效预算管理改革的要求，以改革纾解矛盾、释放红利，适应经济发展新常态。</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（二）依法理财。</w:t>
      </w:r>
      <w:r>
        <w:rPr>
          <w:rFonts w:hint="eastAsia" w:ascii="仿宋_GB2312" w:eastAsia="仿宋_GB2312"/>
          <w:color w:val="000000" w:themeColor="text1"/>
          <w:sz w:val="30"/>
          <w:szCs w:val="30"/>
        </w:rPr>
        <w:t>全面落实《预算法》等法律法规，改进预算编审程序，细化项目编制，硬化预算约束，推进预算公开，建立全面规范、公开透明的预算制度。</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（三）绩效导向。</w:t>
      </w:r>
      <w:r>
        <w:rPr>
          <w:rFonts w:hint="eastAsia" w:ascii="仿宋_GB2312" w:eastAsia="仿宋_GB2312"/>
          <w:color w:val="000000" w:themeColor="text1"/>
          <w:sz w:val="30"/>
          <w:szCs w:val="30"/>
        </w:rPr>
        <w:t>深化部门绩效预算改革，将绩效管理理念和方法融入预算编制全过程。</w:t>
      </w:r>
      <w:r>
        <w:rPr>
          <w:rFonts w:ascii="仿宋_GB2312" w:eastAsia="仿宋_GB2312"/>
          <w:color w:val="000000" w:themeColor="text1"/>
          <w:sz w:val="30"/>
          <w:szCs w:val="30"/>
        </w:rPr>
        <w:t xml:space="preserve">                                   </w:t>
      </w:r>
    </w:p>
    <w:p>
      <w:pPr>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（四）整合财力。</w:t>
      </w:r>
      <w:r>
        <w:rPr>
          <w:rFonts w:hint="eastAsia" w:ascii="仿宋_GB2312" w:eastAsia="仿宋_GB2312"/>
          <w:color w:val="000000" w:themeColor="text1"/>
          <w:sz w:val="30"/>
          <w:szCs w:val="30"/>
        </w:rPr>
        <w:t>整合各种可用资金，避免资金使用“碎片化”，盘活各领域财政沉淀资金，化零为整，统筹使用，增加资金有效供给，提高资金配置效率。</w:t>
      </w:r>
    </w:p>
    <w:p>
      <w:pPr>
        <w:ind w:firstLine="602" w:firstLineChars="200"/>
        <w:rPr>
          <w:rFonts w:ascii="仿宋_GB2312" w:eastAsia="仿宋_GB2312"/>
          <w:color w:val="000000" w:themeColor="text1"/>
          <w:sz w:val="30"/>
          <w:szCs w:val="30"/>
        </w:rPr>
        <w:sectPr>
          <w:pgSz w:w="11906" w:h="16838"/>
          <w:pgMar w:top="1440" w:right="1701" w:bottom="1440" w:left="1588" w:header="709" w:footer="709" w:gutter="0"/>
          <w:pgNumType w:start="1"/>
          <w:cols w:space="708" w:num="1"/>
          <w:titlePg/>
          <w:docGrid w:type="lines" w:linePitch="360" w:charSpace="0"/>
        </w:sectPr>
      </w:pPr>
      <w:r>
        <w:rPr>
          <w:rFonts w:hint="eastAsia" w:ascii="仿宋_GB2312" w:eastAsia="仿宋_GB2312"/>
          <w:b/>
          <w:color w:val="000000" w:themeColor="text1"/>
          <w:sz w:val="30"/>
          <w:szCs w:val="30"/>
        </w:rPr>
        <w:t>（五）统筹兼顾。</w:t>
      </w:r>
      <w:r>
        <w:rPr>
          <w:rFonts w:hint="eastAsia" w:ascii="仿宋_GB2312" w:eastAsia="仿宋_GB2312"/>
          <w:color w:val="000000" w:themeColor="text1"/>
          <w:sz w:val="30"/>
          <w:szCs w:val="30"/>
        </w:rPr>
        <w:t>全面保障民生，抗击疫情，支持重点领域、重点产业发展，同时坚持厉行节约，严格控制一般性支出。</w:t>
      </w:r>
    </w:p>
    <w:p>
      <w:pPr>
        <w:ind w:firstLine="600" w:firstLineChars="200"/>
        <w:rPr>
          <w:rFonts w:ascii="仿宋_GB2312" w:eastAsia="仿宋_GB2312"/>
          <w:color w:val="000000" w:themeColor="text1"/>
          <w:sz w:val="30"/>
          <w:szCs w:val="30"/>
        </w:rPr>
        <w:sectPr>
          <w:pgSz w:w="11906" w:h="16838"/>
          <w:pgMar w:top="1440" w:right="1701" w:bottom="1440" w:left="1588" w:header="709" w:footer="709" w:gutter="0"/>
          <w:cols w:space="708" w:num="1"/>
          <w:titlePg/>
          <w:docGrid w:type="lines" w:linePitch="360" w:charSpace="0"/>
        </w:sectPr>
      </w:pPr>
    </w:p>
    <w:p>
      <w:pPr>
        <w:widowControl/>
        <w:jc w:val="center"/>
        <w:rPr>
          <w:rFonts w:ascii="仿宋_GB2312" w:eastAsia="仿宋_GB2312"/>
          <w:color w:val="000000" w:themeColor="text1"/>
          <w:sz w:val="30"/>
          <w:szCs w:val="30"/>
        </w:rPr>
      </w:pPr>
      <w:bookmarkStart w:id="15" w:name="_Toc64555273"/>
      <w:bookmarkStart w:id="16" w:name="_Toc500947591"/>
    </w:p>
    <w:p>
      <w:pPr>
        <w:widowControl/>
        <w:jc w:val="center"/>
        <w:rPr>
          <w:rFonts w:ascii="仿宋_GB2312" w:eastAsia="仿宋_GB2312"/>
          <w:color w:val="000000" w:themeColor="text1"/>
          <w:sz w:val="30"/>
          <w:szCs w:val="30"/>
        </w:rPr>
      </w:pPr>
    </w:p>
    <w:p>
      <w:pPr>
        <w:widowControl/>
        <w:jc w:val="center"/>
        <w:rPr>
          <w:rFonts w:ascii="方正小标宋简体" w:hAnsi="方正小标宋简体" w:eastAsia="方正小标宋简体" w:cs="方正小标宋简体"/>
          <w:b/>
          <w:color w:val="000000"/>
          <w:kern w:val="0"/>
          <w:sz w:val="52"/>
          <w:szCs w:val="52"/>
          <w:lang w:bidi="en-US"/>
        </w:rPr>
      </w:pPr>
    </w:p>
    <w:p>
      <w:pPr>
        <w:widowControl/>
        <w:jc w:val="center"/>
        <w:rPr>
          <w:rFonts w:ascii="方正小标宋简体" w:hAnsi="方正小标宋简体" w:eastAsia="方正小标宋简体" w:cs="方正小标宋简体"/>
          <w:b/>
          <w:color w:val="000000"/>
          <w:kern w:val="0"/>
          <w:sz w:val="52"/>
          <w:szCs w:val="52"/>
          <w:lang w:bidi="en-US"/>
        </w:rPr>
      </w:pPr>
    </w:p>
    <w:p>
      <w:pPr>
        <w:pStyle w:val="2"/>
        <w:rPr>
          <w:rStyle w:val="20"/>
          <w:rFonts w:ascii="方正小标宋简体" w:hAnsi="方正小标宋简体" w:eastAsia="方正小标宋简体" w:cs="方正小标宋简体"/>
          <w:bCs w:val="0"/>
          <w:color w:val="auto"/>
          <w:szCs w:val="52"/>
          <w:u w:val="none"/>
        </w:rPr>
      </w:pPr>
      <w:bookmarkStart w:id="17" w:name="_Toc91771910"/>
      <w:r>
        <w:rPr>
          <w:rStyle w:val="20"/>
          <w:rFonts w:hint="eastAsia" w:ascii="方正小标宋简体" w:hAnsi="方正小标宋简体" w:eastAsia="方正小标宋简体" w:cs="方正小标宋简体"/>
          <w:bCs w:val="0"/>
          <w:color w:val="auto"/>
          <w:szCs w:val="52"/>
          <w:u w:val="none"/>
        </w:rPr>
        <w:t>第二部分</w:t>
      </w:r>
      <w:bookmarkEnd w:id="17"/>
    </w:p>
    <w:p>
      <w:pPr>
        <w:pStyle w:val="2"/>
        <w:rPr>
          <w:rStyle w:val="20"/>
          <w:rFonts w:ascii="方正小标宋简体" w:hAnsi="方正小标宋简体" w:eastAsia="方正小标宋简体" w:cs="方正小标宋简体"/>
          <w:bCs w:val="0"/>
          <w:color w:val="auto"/>
          <w:szCs w:val="52"/>
          <w:u w:val="none"/>
        </w:rPr>
      </w:pPr>
      <w:bookmarkStart w:id="18" w:name="_Toc91510382"/>
      <w:bookmarkStart w:id="19" w:name="_Toc91771911"/>
      <w:bookmarkStart w:id="20" w:name="_Toc91439460"/>
      <w:r>
        <w:rPr>
          <w:rStyle w:val="20"/>
          <w:rFonts w:hint="eastAsia" w:ascii="方正小标宋简体" w:hAnsi="方正小标宋简体" w:eastAsia="方正小标宋简体" w:cs="方正小标宋简体"/>
          <w:bCs w:val="0"/>
          <w:color w:val="auto"/>
          <w:szCs w:val="52"/>
          <w:u w:val="none"/>
        </w:rPr>
        <w:t>2022年沧州临港经济技术开发区</w:t>
      </w:r>
      <w:bookmarkEnd w:id="18"/>
      <w:bookmarkEnd w:id="19"/>
      <w:bookmarkEnd w:id="20"/>
    </w:p>
    <w:p>
      <w:pPr>
        <w:pStyle w:val="2"/>
        <w:rPr>
          <w:rStyle w:val="20"/>
          <w:rFonts w:ascii="方正小标宋简体" w:hAnsi="方正小标宋简体" w:eastAsia="方正小标宋简体" w:cs="方正小标宋简体"/>
          <w:bCs w:val="0"/>
          <w:color w:val="auto"/>
          <w:szCs w:val="52"/>
          <w:u w:val="none"/>
        </w:rPr>
      </w:pPr>
      <w:bookmarkStart w:id="21" w:name="_Toc91771912"/>
      <w:bookmarkStart w:id="22" w:name="_Toc91439461"/>
      <w:bookmarkStart w:id="23" w:name="_Toc91510383"/>
      <w:r>
        <w:rPr>
          <w:rStyle w:val="20"/>
          <w:rFonts w:hint="eastAsia" w:ascii="方正小标宋简体" w:hAnsi="方正小标宋简体" w:eastAsia="方正小标宋简体" w:cs="方正小标宋简体"/>
          <w:bCs w:val="0"/>
          <w:color w:val="auto"/>
          <w:szCs w:val="52"/>
          <w:u w:val="none"/>
        </w:rPr>
        <w:t>一般公共预算（草案）</w:t>
      </w:r>
      <w:bookmarkEnd w:id="15"/>
      <w:bookmarkEnd w:id="16"/>
      <w:bookmarkEnd w:id="21"/>
      <w:bookmarkEnd w:id="22"/>
      <w:bookmarkEnd w:id="23"/>
    </w:p>
    <w:p>
      <w:pPr>
        <w:pStyle w:val="4"/>
        <w:jc w:val="center"/>
        <w:rPr>
          <w:rFonts w:ascii="仿宋_GB2312" w:eastAsia="仿宋_GB2312"/>
          <w:color w:val="000000" w:themeColor="text1"/>
        </w:rPr>
      </w:pPr>
      <w:bookmarkStart w:id="24" w:name="_Toc500947592"/>
      <w:bookmarkStart w:id="25" w:name="_Toc64555274"/>
    </w:p>
    <w:p>
      <w:pPr>
        <w:pStyle w:val="4"/>
        <w:jc w:val="center"/>
        <w:rPr>
          <w:rFonts w:ascii="仿宋_GB2312" w:eastAsia="仿宋_GB2312"/>
          <w:color w:val="000000" w:themeColor="text1"/>
        </w:rPr>
      </w:pPr>
    </w:p>
    <w:p>
      <w:pPr>
        <w:pStyle w:val="4"/>
        <w:jc w:val="center"/>
        <w:rPr>
          <w:rFonts w:ascii="仿宋_GB2312" w:eastAsia="仿宋_GB2312"/>
          <w:color w:val="000000" w:themeColor="text1"/>
        </w:rPr>
      </w:pPr>
    </w:p>
    <w:p>
      <w:pPr>
        <w:pStyle w:val="4"/>
        <w:jc w:val="center"/>
        <w:rPr>
          <w:rFonts w:ascii="仿宋_GB2312" w:eastAsia="仿宋_GB2312"/>
          <w:color w:val="000000" w:themeColor="text1"/>
        </w:rPr>
      </w:pPr>
    </w:p>
    <w:p>
      <w:pPr>
        <w:pStyle w:val="4"/>
        <w:jc w:val="center"/>
        <w:rPr>
          <w:rFonts w:ascii="仿宋_GB2312" w:eastAsia="仿宋_GB2312"/>
          <w:color w:val="000000" w:themeColor="text1"/>
        </w:rPr>
      </w:pPr>
    </w:p>
    <w:p>
      <w:pPr>
        <w:spacing w:line="600" w:lineRule="exact"/>
        <w:rPr>
          <w:rFonts w:ascii="方正小标宋简体" w:hAnsi="黑体" w:eastAsia="方正小标宋简体"/>
          <w:kern w:val="0"/>
          <w:sz w:val="36"/>
          <w:szCs w:val="36"/>
          <w:lang w:bidi="en-US"/>
        </w:rPr>
      </w:pPr>
    </w:p>
    <w:p>
      <w:pPr>
        <w:pStyle w:val="3"/>
        <w:rPr>
          <w:rFonts w:ascii="方正小标宋简体" w:hAnsi="方正小标宋简体" w:eastAsia="方正小标宋简体" w:cs="方正小标宋简体"/>
          <w:bCs w:val="0"/>
          <w:kern w:val="44"/>
          <w:szCs w:val="36"/>
        </w:rPr>
      </w:pPr>
      <w:bookmarkStart w:id="26" w:name="_Toc91771913"/>
      <w:r>
        <w:rPr>
          <w:rStyle w:val="20"/>
          <w:rFonts w:hint="eastAsia" w:ascii="方正小标宋简体" w:hAnsi="方正小标宋简体" w:eastAsia="方正小标宋简体" w:cs="方正小标宋简体"/>
          <w:bCs w:val="0"/>
          <w:color w:val="auto"/>
          <w:kern w:val="44"/>
          <w:szCs w:val="36"/>
          <w:u w:val="none"/>
        </w:rPr>
        <w:t>§</w:t>
      </w:r>
      <w:r>
        <w:rPr>
          <w:rStyle w:val="20"/>
          <w:rFonts w:ascii="方正小标宋简体" w:hAnsi="方正小标宋简体" w:eastAsia="方正小标宋简体" w:cs="方正小标宋简体"/>
          <w:bCs w:val="0"/>
          <w:color w:val="auto"/>
          <w:kern w:val="44"/>
          <w:szCs w:val="36"/>
          <w:u w:val="none"/>
        </w:rPr>
        <w:t xml:space="preserve">1  </w:t>
      </w:r>
      <w:r>
        <w:rPr>
          <w:rStyle w:val="20"/>
          <w:rFonts w:hint="eastAsia" w:ascii="方正小标宋简体" w:hAnsi="方正小标宋简体" w:eastAsia="方正小标宋简体" w:cs="方正小标宋简体"/>
          <w:bCs w:val="0"/>
          <w:color w:val="auto"/>
          <w:kern w:val="44"/>
          <w:szCs w:val="36"/>
          <w:u w:val="none"/>
        </w:rPr>
        <w:t>2022年一般公共预算收支安排情况</w:t>
      </w:r>
      <w:bookmarkEnd w:id="24"/>
      <w:bookmarkEnd w:id="25"/>
      <w:bookmarkEnd w:id="26"/>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一、一般公共预算收入</w:t>
      </w:r>
      <w:r>
        <w:rPr>
          <w:rFonts w:ascii="仿宋_GB2312" w:eastAsia="仿宋_GB2312"/>
          <w:b/>
          <w:color w:val="000000" w:themeColor="text1"/>
          <w:sz w:val="32"/>
          <w:szCs w:val="32"/>
        </w:rPr>
        <w:t xml:space="preserve">  </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临港开发区一般公共预算总收入88100万元，主要包括：</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1、综合分析2022年经济形势及我区税源变化因素，</w:t>
      </w:r>
      <w:r>
        <w:rPr>
          <w:rFonts w:ascii="仿宋_GB2312" w:eastAsia="仿宋_GB2312"/>
          <w:color w:val="000000" w:themeColor="text1"/>
          <w:sz w:val="30"/>
          <w:szCs w:val="30"/>
        </w:rPr>
        <w:t>充分考虑落实减税降费政策等因素影响</w:t>
      </w:r>
      <w:r>
        <w:rPr>
          <w:rFonts w:hint="eastAsia" w:ascii="仿宋_GB2312" w:eastAsia="仿宋_GB2312"/>
          <w:color w:val="000000" w:themeColor="text1"/>
          <w:sz w:val="30"/>
          <w:szCs w:val="30"/>
        </w:rPr>
        <w:t>，预计区级一般公共预算收入完成80960万元，同比增长15%，其中：税收收入37860万元，同比增长34.8%，非税收入43100万元，同比增长1.85%。</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2、返还性收入374万元。</w:t>
      </w:r>
    </w:p>
    <w:p>
      <w:pPr>
        <w:ind w:firstLine="585"/>
        <w:rPr>
          <w:rFonts w:ascii="仿宋_GB2312" w:eastAsia="仿宋_GB2312"/>
          <w:color w:val="000000" w:themeColor="text1"/>
          <w:sz w:val="30"/>
          <w:szCs w:val="30"/>
        </w:rPr>
      </w:pPr>
      <w:r>
        <w:rPr>
          <w:rFonts w:hint="eastAsia" w:ascii="仿宋_GB2312" w:eastAsia="仿宋_GB2312"/>
          <w:color w:val="000000" w:themeColor="text1"/>
          <w:sz w:val="30"/>
          <w:szCs w:val="30"/>
        </w:rPr>
        <w:t>3、从政府性基金预算调入3260万元。</w:t>
      </w:r>
    </w:p>
    <w:p>
      <w:pPr>
        <w:ind w:firstLine="585"/>
        <w:rPr>
          <w:rFonts w:ascii="仿宋_GB2312" w:eastAsia="仿宋_GB2312"/>
          <w:color w:val="000000" w:themeColor="text1"/>
          <w:sz w:val="30"/>
          <w:szCs w:val="30"/>
        </w:rPr>
      </w:pPr>
      <w:r>
        <w:rPr>
          <w:rFonts w:hint="eastAsia" w:ascii="仿宋_GB2312" w:eastAsia="仿宋_GB2312"/>
          <w:color w:val="000000" w:themeColor="text1"/>
          <w:sz w:val="30"/>
          <w:szCs w:val="30"/>
        </w:rPr>
        <w:t>4、动用预算稳定调节基金3506万元。</w:t>
      </w:r>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二、一般公共预算支出</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2022年度安排一般公共预算总支出88100万元，主要包括：</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1、区本级一般公共预算支出62000万元；</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2、上解上级支出26100万元。</w:t>
      </w:r>
    </w:p>
    <w:p>
      <w:pPr>
        <w:ind w:firstLine="643" w:firstLineChars="200"/>
        <w:rPr>
          <w:rFonts w:ascii="仿宋_GB2312" w:eastAsia="仿宋_GB2312"/>
          <w:b/>
          <w:color w:val="000000" w:themeColor="text1"/>
          <w:sz w:val="32"/>
          <w:szCs w:val="32"/>
        </w:rPr>
      </w:pPr>
      <w:r>
        <w:rPr>
          <w:rFonts w:hint="eastAsia" w:ascii="仿宋_GB2312" w:eastAsia="仿宋_GB2312"/>
          <w:b/>
          <w:color w:val="000000" w:themeColor="text1"/>
          <w:sz w:val="32"/>
          <w:szCs w:val="32"/>
        </w:rPr>
        <w:t>三、一般公共预算支出安排情况</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支出遵循“厉行节约，保障重点”的原则，结合各部门2021年实际经费支出情况及2022年谋事档案和工作目标，按照国家各相关文件规定全面强化预算管理，一般公共预算支出62000万元，具体支出安排如下：</w:t>
      </w:r>
    </w:p>
    <w:p>
      <w:pPr>
        <w:ind w:firstLine="602" w:firstLineChars="200"/>
        <w:rPr>
          <w:rFonts w:ascii="仿宋_GB2312" w:eastAsia="仿宋_GB2312"/>
          <w:b/>
          <w:sz w:val="30"/>
          <w:szCs w:val="30"/>
        </w:rPr>
      </w:pPr>
      <w:r>
        <w:rPr>
          <w:rFonts w:hint="eastAsia" w:ascii="仿宋_GB2312" w:eastAsia="仿宋_GB2312"/>
          <w:b/>
          <w:sz w:val="30"/>
          <w:szCs w:val="30"/>
        </w:rPr>
        <w:t xml:space="preserve">（一）保工资 </w:t>
      </w:r>
    </w:p>
    <w:p>
      <w:pPr>
        <w:ind w:firstLine="600" w:firstLineChars="200"/>
        <w:rPr>
          <w:rFonts w:ascii="仿宋_GB2312" w:eastAsia="仿宋_GB2312"/>
          <w:b/>
          <w:sz w:val="30"/>
          <w:szCs w:val="30"/>
        </w:rPr>
      </w:pPr>
      <w:r>
        <w:rPr>
          <w:rFonts w:hint="eastAsia" w:ascii="仿宋_GB2312" w:eastAsia="仿宋_GB2312"/>
          <w:bCs/>
          <w:sz w:val="30"/>
          <w:szCs w:val="30"/>
        </w:rPr>
        <w:t>2022年人员经费支出安排6871万元。其中：参考上年人员经费测算支出5811万元，改革性工资支出1060万元。</w:t>
      </w:r>
    </w:p>
    <w:p>
      <w:pPr>
        <w:ind w:firstLine="602" w:firstLineChars="200"/>
        <w:rPr>
          <w:rFonts w:ascii="仿宋_GB2312" w:eastAsia="仿宋_GB2312"/>
          <w:b/>
          <w:sz w:val="30"/>
          <w:szCs w:val="30"/>
        </w:rPr>
      </w:pPr>
      <w:r>
        <w:rPr>
          <w:rFonts w:hint="eastAsia" w:ascii="仿宋_GB2312" w:eastAsia="仿宋_GB2312"/>
          <w:b/>
          <w:sz w:val="30"/>
          <w:szCs w:val="30"/>
        </w:rPr>
        <w:t>（二）保运转</w:t>
      </w:r>
    </w:p>
    <w:p>
      <w:pPr>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2022年公用经费支出安排6916万元。其中：1、依据渤海新区标准，日常公用经费核定为279万元；2、落实中央压缩一般性支出要求，专项公用经费安排6637万元。</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（三）保民生</w:t>
      </w:r>
    </w:p>
    <w:p>
      <w:pPr>
        <w:ind w:firstLine="600" w:firstLineChars="200"/>
        <w:rPr>
          <w:rFonts w:ascii="仿宋_GB2312" w:eastAsia="仿宋_GB2312"/>
          <w:bCs/>
          <w:color w:val="000000" w:themeColor="text1"/>
          <w:sz w:val="30"/>
          <w:szCs w:val="30"/>
        </w:rPr>
      </w:pPr>
      <w:r>
        <w:rPr>
          <w:rFonts w:hint="eastAsia" w:ascii="仿宋_GB2312" w:eastAsia="仿宋_GB2312"/>
          <w:bCs/>
          <w:color w:val="000000" w:themeColor="text1"/>
          <w:sz w:val="30"/>
          <w:szCs w:val="30"/>
        </w:rPr>
        <w:t>2022年民生类支出安排5150万元。其中：农民工工资保障金500万元，疫情防控经费500万元，辛庄子转型生活费400万元；“南水北调”水费3650万元，新起点保障房支出100万元。</w:t>
      </w:r>
    </w:p>
    <w:p>
      <w:pPr>
        <w:ind w:firstLine="602" w:firstLineChars="200"/>
        <w:rPr>
          <w:rFonts w:ascii="仿宋_GB2312" w:eastAsia="仿宋_GB2312"/>
          <w:b/>
          <w:bCs/>
          <w:color w:val="000000" w:themeColor="text1"/>
          <w:sz w:val="30"/>
          <w:szCs w:val="30"/>
        </w:rPr>
      </w:pPr>
      <w:r>
        <w:rPr>
          <w:rFonts w:hint="eastAsia" w:ascii="仿宋_GB2312" w:eastAsia="仿宋_GB2312"/>
          <w:b/>
          <w:color w:val="000000" w:themeColor="text1"/>
          <w:sz w:val="30"/>
          <w:szCs w:val="30"/>
        </w:rPr>
        <w:t>（四）</w:t>
      </w:r>
      <w:r>
        <w:rPr>
          <w:rFonts w:hint="eastAsia" w:ascii="仿宋_GB2312" w:eastAsia="仿宋_GB2312"/>
          <w:b/>
          <w:bCs/>
          <w:color w:val="000000" w:themeColor="text1"/>
          <w:sz w:val="30"/>
          <w:szCs w:val="30"/>
        </w:rPr>
        <w:t>深入打好防范化解重大风险和生态环境保护攻坚战</w:t>
      </w:r>
    </w:p>
    <w:p>
      <w:pPr>
        <w:ind w:firstLine="600" w:firstLineChars="200"/>
        <w:rPr>
          <w:rFonts w:ascii="仿宋_GB2312" w:eastAsia="仿宋_GB2312"/>
          <w:bCs/>
          <w:color w:val="FF0000"/>
          <w:sz w:val="30"/>
          <w:szCs w:val="30"/>
        </w:rPr>
      </w:pPr>
      <w:r>
        <w:rPr>
          <w:rFonts w:hint="eastAsia" w:ascii="仿宋_GB2312" w:eastAsia="仿宋_GB2312"/>
          <w:bCs/>
          <w:color w:val="000000" w:themeColor="text1"/>
          <w:sz w:val="30"/>
          <w:szCs w:val="30"/>
        </w:rPr>
        <w:t>安排支出3539万元，其中：安排政府一般债券付息支出88万元；安排安全生产应急管理专项支出1045万元；安排生态环保专项支出2406万元，</w:t>
      </w:r>
      <w:r>
        <w:rPr>
          <w:rFonts w:hint="eastAsia" w:ascii="仿宋_GB2312" w:eastAsia="仿宋_GB2312"/>
          <w:bCs/>
          <w:sz w:val="30"/>
          <w:szCs w:val="30"/>
        </w:rPr>
        <w:t>重点用于环境监察、大气水体污染防治等方面支出。</w:t>
      </w:r>
    </w:p>
    <w:p>
      <w:pPr>
        <w:ind w:firstLine="602" w:firstLineChars="200"/>
        <w:rPr>
          <w:rFonts w:ascii="仿宋_GB2312" w:eastAsia="仿宋_GB2312"/>
          <w:b/>
          <w:sz w:val="30"/>
          <w:szCs w:val="30"/>
        </w:rPr>
      </w:pPr>
      <w:r>
        <w:rPr>
          <w:rFonts w:hint="eastAsia" w:ascii="仿宋_GB2312" w:eastAsia="仿宋_GB2312"/>
          <w:b/>
          <w:sz w:val="30"/>
          <w:szCs w:val="30"/>
        </w:rPr>
        <w:t>（五）积极支持临港开发区高质量发展</w:t>
      </w:r>
    </w:p>
    <w:p>
      <w:pPr>
        <w:ind w:firstLine="602" w:firstLineChars="200"/>
        <w:rPr>
          <w:rFonts w:ascii="仿宋_GB2312" w:eastAsia="仿宋_GB2312"/>
          <w:b/>
          <w:bCs/>
          <w:sz w:val="30"/>
          <w:szCs w:val="30"/>
        </w:rPr>
      </w:pPr>
      <w:r>
        <w:rPr>
          <w:rFonts w:hint="eastAsia" w:ascii="仿宋_GB2312" w:eastAsia="仿宋_GB2312"/>
          <w:b/>
          <w:bCs/>
          <w:sz w:val="30"/>
          <w:szCs w:val="30"/>
        </w:rPr>
        <w:t>重点项目支出安排39524万元，包括：</w:t>
      </w:r>
    </w:p>
    <w:p>
      <w:pPr>
        <w:ind w:firstLine="602" w:firstLineChars="200"/>
        <w:rPr>
          <w:rFonts w:ascii="仿宋_GB2312" w:eastAsia="仿宋_GB2312"/>
          <w:b/>
          <w:sz w:val="30"/>
          <w:szCs w:val="30"/>
        </w:rPr>
      </w:pPr>
      <w:r>
        <w:rPr>
          <w:rFonts w:hint="eastAsia" w:ascii="仿宋_GB2312" w:eastAsia="仿宋_GB2312"/>
          <w:b/>
          <w:bCs/>
          <w:sz w:val="30"/>
          <w:szCs w:val="30"/>
        </w:rPr>
        <w:t>1、</w:t>
      </w:r>
      <w:r>
        <w:rPr>
          <w:rFonts w:hint="eastAsia" w:ascii="仿宋_GB2312" w:eastAsia="仿宋_GB2312"/>
          <w:b/>
          <w:sz w:val="30"/>
          <w:szCs w:val="30"/>
        </w:rPr>
        <w:t>科技类支出3800万元。</w:t>
      </w:r>
    </w:p>
    <w:p>
      <w:pPr>
        <w:ind w:firstLine="600" w:firstLineChars="200"/>
        <w:rPr>
          <w:rFonts w:ascii="仿宋_GB2312" w:eastAsia="仿宋_GB2312"/>
          <w:sz w:val="30"/>
          <w:szCs w:val="30"/>
        </w:rPr>
      </w:pPr>
      <w:r>
        <w:rPr>
          <w:rFonts w:hint="eastAsia" w:ascii="仿宋_GB2312" w:eastAsia="仿宋_GB2312"/>
          <w:sz w:val="30"/>
          <w:szCs w:val="30"/>
        </w:rPr>
        <w:t>（</w:t>
      </w:r>
      <w:r>
        <w:rPr>
          <w:rFonts w:ascii="仿宋_GB2312" w:eastAsia="仿宋_GB2312"/>
          <w:sz w:val="30"/>
          <w:szCs w:val="30"/>
        </w:rPr>
        <w:t>1</w:t>
      </w:r>
      <w:r>
        <w:rPr>
          <w:rFonts w:hint="eastAsia" w:ascii="仿宋_GB2312" w:eastAsia="仿宋_GB2312"/>
          <w:sz w:val="30"/>
          <w:szCs w:val="30"/>
        </w:rPr>
        <w:t>）南开大学绿色化工研究院项目3000万元。</w:t>
      </w:r>
    </w:p>
    <w:p>
      <w:pPr>
        <w:ind w:firstLine="600" w:firstLineChars="200"/>
        <w:rPr>
          <w:rFonts w:ascii="仿宋_GB2312" w:eastAsia="仿宋_GB2312"/>
          <w:sz w:val="30"/>
          <w:szCs w:val="30"/>
        </w:rPr>
      </w:pPr>
      <w:r>
        <w:rPr>
          <w:rFonts w:hint="eastAsia" w:ascii="仿宋_GB2312" w:eastAsia="仿宋_GB2312"/>
          <w:sz w:val="30"/>
          <w:szCs w:val="30"/>
        </w:rPr>
        <w:t>（2）智能大数据平台项目500万元。</w:t>
      </w:r>
    </w:p>
    <w:p>
      <w:pPr>
        <w:ind w:firstLine="600" w:firstLineChars="200"/>
        <w:rPr>
          <w:rFonts w:ascii="仿宋_GB2312" w:eastAsia="仿宋_GB2312"/>
          <w:sz w:val="30"/>
          <w:szCs w:val="30"/>
        </w:rPr>
      </w:pPr>
      <w:r>
        <w:rPr>
          <w:rFonts w:hint="eastAsia" w:ascii="仿宋_GB2312" w:eastAsia="仿宋_GB2312"/>
          <w:sz w:val="30"/>
          <w:szCs w:val="30"/>
        </w:rPr>
        <w:t>（3）省重点园区信息化试点提升改造项目100万元。</w:t>
      </w:r>
    </w:p>
    <w:p>
      <w:pPr>
        <w:ind w:firstLine="600" w:firstLineChars="200"/>
        <w:rPr>
          <w:rFonts w:ascii="仿宋_GB2312" w:eastAsia="仿宋_GB2312"/>
          <w:sz w:val="30"/>
          <w:szCs w:val="30"/>
        </w:rPr>
      </w:pPr>
      <w:r>
        <w:rPr>
          <w:rFonts w:hint="eastAsia" w:ascii="仿宋_GB2312" w:eastAsia="仿宋_GB2312"/>
          <w:sz w:val="30"/>
          <w:szCs w:val="30"/>
        </w:rPr>
        <w:t>（4）环保综合信息监控平台项目200万元。</w:t>
      </w:r>
    </w:p>
    <w:p>
      <w:pPr>
        <w:ind w:firstLine="602" w:firstLineChars="200"/>
        <w:rPr>
          <w:rFonts w:ascii="仿宋_GB2312" w:eastAsia="仿宋_GB2312"/>
          <w:b/>
          <w:sz w:val="30"/>
          <w:szCs w:val="30"/>
        </w:rPr>
      </w:pPr>
      <w:r>
        <w:rPr>
          <w:rFonts w:hint="eastAsia" w:ascii="仿宋_GB2312" w:eastAsia="仿宋_GB2312"/>
          <w:b/>
          <w:bCs/>
          <w:sz w:val="30"/>
          <w:szCs w:val="30"/>
        </w:rPr>
        <w:t>2、其他重点领域项目支出35104万元</w:t>
      </w:r>
    </w:p>
    <w:p>
      <w:pPr>
        <w:ind w:firstLine="600" w:firstLineChars="200"/>
        <w:rPr>
          <w:rFonts w:ascii="仿宋_GB2312" w:eastAsia="仿宋_GB2312"/>
          <w:sz w:val="30"/>
          <w:szCs w:val="30"/>
        </w:rPr>
      </w:pPr>
      <w:r>
        <w:rPr>
          <w:rFonts w:hint="eastAsia" w:ascii="仿宋_GB2312" w:eastAsia="仿宋_GB2312"/>
          <w:sz w:val="30"/>
          <w:szCs w:val="30"/>
        </w:rPr>
        <w:t>（1）</w:t>
      </w:r>
      <w:r>
        <w:rPr>
          <w:rFonts w:hint="eastAsia" w:ascii="仿宋_GB2312" w:eastAsia="仿宋_GB2312"/>
          <w:bCs/>
          <w:sz w:val="30"/>
          <w:szCs w:val="30"/>
        </w:rPr>
        <w:t>国有企业注资33300万元；</w:t>
      </w:r>
    </w:p>
    <w:p>
      <w:pPr>
        <w:ind w:firstLine="600" w:firstLineChars="200"/>
        <w:rPr>
          <w:rFonts w:ascii="仿宋_GB2312" w:eastAsia="仿宋_GB2312"/>
          <w:sz w:val="30"/>
          <w:szCs w:val="30"/>
        </w:rPr>
      </w:pPr>
      <w:r>
        <w:rPr>
          <w:rFonts w:hint="eastAsia" w:ascii="仿宋_GB2312" w:eastAsia="仿宋_GB2312"/>
          <w:sz w:val="30"/>
          <w:szCs w:val="30"/>
        </w:rPr>
        <w:t>（2）生物医药企业补贴资金1500万元；</w:t>
      </w:r>
    </w:p>
    <w:p>
      <w:pPr>
        <w:ind w:firstLine="600" w:firstLineChars="200"/>
        <w:rPr>
          <w:rFonts w:ascii="仿宋_GB2312" w:eastAsia="仿宋_GB2312"/>
          <w:sz w:val="30"/>
          <w:szCs w:val="30"/>
        </w:rPr>
      </w:pPr>
      <w:r>
        <w:rPr>
          <w:rFonts w:hint="eastAsia" w:ascii="仿宋_GB2312" w:eastAsia="仿宋_GB2312"/>
          <w:sz w:val="30"/>
          <w:szCs w:val="30"/>
        </w:rPr>
        <w:t>（3）市政基础设施及环境卫生支出304万元。</w:t>
      </w:r>
    </w:p>
    <w:p>
      <w:pPr>
        <w:ind w:firstLine="602" w:firstLineChars="200"/>
        <w:rPr>
          <w:rFonts w:ascii="仿宋_GB2312" w:eastAsia="仿宋_GB2312"/>
          <w:b/>
          <w:bCs/>
          <w:sz w:val="30"/>
          <w:szCs w:val="30"/>
        </w:rPr>
      </w:pPr>
      <w:r>
        <w:rPr>
          <w:rFonts w:hint="eastAsia" w:ascii="仿宋_GB2312" w:eastAsia="仿宋_GB2312"/>
          <w:b/>
          <w:bCs/>
          <w:sz w:val="30"/>
          <w:szCs w:val="30"/>
        </w:rPr>
        <w:t>3、预备费620万元。</w:t>
      </w:r>
    </w:p>
    <w:p>
      <w:pPr>
        <w:rPr>
          <w:rFonts w:ascii="仿宋_GB2312" w:eastAsia="仿宋_GB2312"/>
          <w:b/>
          <w:bCs/>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rPr>
          <w:rStyle w:val="20"/>
          <w:rFonts w:ascii="方正小标宋简体" w:hAnsi="方正小标宋简体" w:eastAsia="方正小标宋简体" w:cs="方正小标宋简体"/>
          <w:bCs w:val="0"/>
          <w:color w:val="auto"/>
          <w:kern w:val="44"/>
          <w:szCs w:val="36"/>
          <w:u w:val="none"/>
        </w:rPr>
      </w:pPr>
      <w:bookmarkStart w:id="27" w:name="_Toc91771914"/>
      <w:r>
        <w:rPr>
          <w:rStyle w:val="20"/>
          <w:rFonts w:hint="eastAsia" w:ascii="方正小标宋简体" w:hAnsi="方正小标宋简体" w:eastAsia="方正小标宋简体" w:cs="方正小标宋简体"/>
          <w:bCs w:val="0"/>
          <w:color w:val="auto"/>
          <w:kern w:val="44"/>
          <w:szCs w:val="36"/>
          <w:u w:val="none"/>
        </w:rPr>
        <w:t>§2  2022年一般公共预算收支平衡情况表</w:t>
      </w:r>
      <w:bookmarkEnd w:id="27"/>
    </w:p>
    <w:p>
      <w:pPr>
        <w:jc w:val="right"/>
        <w:rPr>
          <w:rFonts w:ascii="仿宋_GB2312" w:eastAsia="仿宋_GB2312"/>
          <w:color w:val="000000" w:themeColor="text1"/>
          <w:sz w:val="28"/>
          <w:szCs w:val="28"/>
        </w:rPr>
      </w:pPr>
      <w:r>
        <w:rPr>
          <w:rFonts w:hint="eastAsia" w:ascii="仿宋_GB2312" w:eastAsia="仿宋_GB2312"/>
          <w:color w:val="000000" w:themeColor="text1"/>
          <w:sz w:val="28"/>
          <w:szCs w:val="28"/>
        </w:rPr>
        <w:t>单位：万元</w:t>
      </w:r>
    </w:p>
    <w:tbl>
      <w:tblPr>
        <w:tblStyle w:val="15"/>
        <w:tblW w:w="8960" w:type="dxa"/>
        <w:tblInd w:w="93" w:type="dxa"/>
        <w:tblLayout w:type="autofit"/>
        <w:tblCellMar>
          <w:top w:w="0" w:type="dxa"/>
          <w:left w:w="108" w:type="dxa"/>
          <w:bottom w:w="0" w:type="dxa"/>
          <w:right w:w="108" w:type="dxa"/>
        </w:tblCellMar>
      </w:tblPr>
      <w:tblGrid>
        <w:gridCol w:w="3200"/>
        <w:gridCol w:w="1280"/>
        <w:gridCol w:w="3200"/>
        <w:gridCol w:w="1280"/>
      </w:tblGrid>
      <w:tr>
        <w:tblPrEx>
          <w:tblCellMar>
            <w:top w:w="0" w:type="dxa"/>
            <w:left w:w="108" w:type="dxa"/>
            <w:bottom w:w="0" w:type="dxa"/>
            <w:right w:w="108" w:type="dxa"/>
          </w:tblCellMar>
        </w:tblPrEx>
        <w:trPr>
          <w:trHeight w:val="402" w:hRule="atLeast"/>
        </w:trPr>
        <w:tc>
          <w:tcPr>
            <w:tcW w:w="320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预算科目</w:t>
            </w:r>
          </w:p>
        </w:tc>
        <w:tc>
          <w:tcPr>
            <w:tcW w:w="128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预算数</w:t>
            </w:r>
          </w:p>
        </w:tc>
        <w:tc>
          <w:tcPr>
            <w:tcW w:w="320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预算科目</w:t>
            </w:r>
          </w:p>
        </w:tc>
        <w:tc>
          <w:tcPr>
            <w:tcW w:w="12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预算数</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一般公共预算收入总计</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88,100 </w:t>
            </w:r>
          </w:p>
        </w:tc>
        <w:tc>
          <w:tcPr>
            <w:tcW w:w="320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一般公共预算支出总计</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88,100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一、区级一般公共财政收入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80,960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一、区级一般公共财政支出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62,000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二、上级补助收入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374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二、上解上级支出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26,100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返还性收入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374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体制上解支出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增值税基数返还</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374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出口退税专项上解支出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消费税基数返还</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专项上解支出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26,100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所得税基数返还</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三、债券还本支出</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营改增体制返还</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地方政府债券还本</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540"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成品油价格和税费改革税收返还收入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一般性转移支付收入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体制补助收入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均衡性转移支付补助</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结算补助收入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固定数额补助收入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县级基本财力保障奖补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专项转移支付收入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三、上年结余收入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四、调入资金</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3,260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从政府性基金预算调入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3,260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从国有资本经营预算调入</w:t>
            </w:r>
          </w:p>
        </w:tc>
        <w:tc>
          <w:tcPr>
            <w:tcW w:w="128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320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02" w:hRule="atLeast"/>
        </w:trPr>
        <w:tc>
          <w:tcPr>
            <w:tcW w:w="3200" w:type="dxa"/>
            <w:tcBorders>
              <w:top w:val="nil"/>
              <w:left w:val="single" w:color="auto" w:sz="8" w:space="0"/>
              <w:bottom w:val="single" w:color="auto" w:sz="8" w:space="0"/>
              <w:right w:val="single" w:color="auto" w:sz="4" w:space="0"/>
            </w:tcBorders>
            <w:shd w:val="clear" w:color="auto" w:fill="auto"/>
            <w:vAlign w:val="center"/>
          </w:tcPr>
          <w:p>
            <w:pPr>
              <w:widowControl/>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五、动用预算稳定调节基金</w:t>
            </w:r>
          </w:p>
        </w:tc>
        <w:tc>
          <w:tcPr>
            <w:tcW w:w="1280" w:type="dxa"/>
            <w:tcBorders>
              <w:top w:val="nil"/>
              <w:left w:val="nil"/>
              <w:bottom w:val="single" w:color="auto" w:sz="8" w:space="0"/>
              <w:right w:val="single" w:color="auto" w:sz="4" w:space="0"/>
            </w:tcBorders>
            <w:shd w:val="clear" w:color="auto" w:fill="auto"/>
            <w:vAlign w:val="center"/>
          </w:tcPr>
          <w:p>
            <w:pPr>
              <w:widowControl/>
              <w:jc w:val="right"/>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 xml:space="preserve">  3,506 </w:t>
            </w:r>
          </w:p>
        </w:tc>
        <w:tc>
          <w:tcPr>
            <w:tcW w:w="3200" w:type="dxa"/>
            <w:tcBorders>
              <w:top w:val="nil"/>
              <w:left w:val="nil"/>
              <w:bottom w:val="single" w:color="auto" w:sz="8"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280" w:type="dxa"/>
            <w:tcBorders>
              <w:top w:val="nil"/>
              <w:left w:val="nil"/>
              <w:bottom w:val="single" w:color="auto" w:sz="8"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bl>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p>
      <w:pPr>
        <w:tabs>
          <w:tab w:val="left" w:pos="4070"/>
        </w:tabs>
        <w:spacing w:line="360" w:lineRule="auto"/>
        <w:jc w:val="left"/>
        <w:rPr>
          <w:rFonts w:ascii="仿宋_GB2312" w:eastAsia="仿宋_GB2312"/>
          <w:b/>
          <w:color w:val="000000" w:themeColor="text1"/>
          <w:sz w:val="32"/>
          <w:szCs w:val="32"/>
        </w:rPr>
      </w:pPr>
    </w:p>
    <w:p>
      <w:pPr>
        <w:pStyle w:val="3"/>
        <w:rPr>
          <w:rStyle w:val="20"/>
          <w:rFonts w:ascii="方正小标宋简体" w:hAnsi="方正小标宋简体" w:eastAsia="方正小标宋简体" w:cs="方正小标宋简体"/>
          <w:bCs w:val="0"/>
          <w:color w:val="auto"/>
          <w:kern w:val="44"/>
          <w:szCs w:val="36"/>
          <w:u w:val="none"/>
        </w:rPr>
      </w:pPr>
      <w:bookmarkStart w:id="28" w:name="_Toc91771915"/>
      <w:r>
        <w:rPr>
          <w:rStyle w:val="20"/>
          <w:rFonts w:hint="eastAsia" w:ascii="方正小标宋简体" w:hAnsi="方正小标宋简体" w:eastAsia="方正小标宋简体" w:cs="方正小标宋简体"/>
          <w:bCs w:val="0"/>
          <w:color w:val="auto"/>
          <w:kern w:val="44"/>
          <w:szCs w:val="36"/>
          <w:u w:val="none"/>
        </w:rPr>
        <w:t>§3  2022年一般公共预算收入安排情况表</w:t>
      </w:r>
      <w:bookmarkEnd w:id="28"/>
    </w:p>
    <w:p>
      <w:pPr>
        <w:jc w:val="right"/>
        <w:rPr>
          <w:rFonts w:ascii="仿宋_GB2312" w:eastAsia="仿宋_GB2312"/>
          <w:color w:val="000000" w:themeColor="text1"/>
          <w:sz w:val="28"/>
          <w:szCs w:val="28"/>
        </w:rPr>
      </w:pPr>
      <w:r>
        <w:rPr>
          <w:rFonts w:hint="eastAsia" w:ascii="方正小标宋简体" w:hAnsi="黑体" w:eastAsia="方正小标宋简体"/>
          <w:kern w:val="0"/>
          <w:sz w:val="36"/>
          <w:szCs w:val="36"/>
          <w:lang w:bidi="en-US"/>
        </w:rPr>
        <w:tab/>
      </w:r>
      <w:r>
        <w:rPr>
          <w:rFonts w:hint="eastAsia" w:ascii="仿宋_GB2312" w:eastAsia="仿宋_GB2312"/>
          <w:color w:val="000000" w:themeColor="text1"/>
          <w:sz w:val="28"/>
          <w:szCs w:val="28"/>
        </w:rPr>
        <w:t>单位：万元</w:t>
      </w:r>
    </w:p>
    <w:tbl>
      <w:tblPr>
        <w:tblStyle w:val="15"/>
        <w:tblW w:w="8700" w:type="dxa"/>
        <w:tblInd w:w="93" w:type="dxa"/>
        <w:tblLayout w:type="autofit"/>
        <w:tblCellMar>
          <w:top w:w="0" w:type="dxa"/>
          <w:left w:w="108" w:type="dxa"/>
          <w:bottom w:w="0" w:type="dxa"/>
          <w:right w:w="108" w:type="dxa"/>
        </w:tblCellMar>
      </w:tblPr>
      <w:tblGrid>
        <w:gridCol w:w="4580"/>
        <w:gridCol w:w="4120"/>
      </w:tblGrid>
      <w:tr>
        <w:tblPrEx>
          <w:tblCellMar>
            <w:top w:w="0" w:type="dxa"/>
            <w:left w:w="108" w:type="dxa"/>
            <w:bottom w:w="0" w:type="dxa"/>
            <w:right w:w="108" w:type="dxa"/>
          </w:tblCellMar>
        </w:tblPrEx>
        <w:trPr>
          <w:trHeight w:val="402" w:hRule="atLeast"/>
        </w:trPr>
        <w:tc>
          <w:tcPr>
            <w:tcW w:w="458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科        目</w:t>
            </w:r>
          </w:p>
        </w:tc>
        <w:tc>
          <w:tcPr>
            <w:tcW w:w="41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2022年预算</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一、税收收入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37,860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增值税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8,830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企业所得税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3,000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个人所得税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530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资源税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500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城市维护建设税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2,800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房产税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7,000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印花税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1,900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城镇土地使用税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9,000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耕地占用税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契税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2,900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环保税</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二、非税收入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43,100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专项收入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12,700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行政事业性收费收入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210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罚没收入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国有资源(资产）有偿使用收入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29,600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政府住房基金收入</w:t>
            </w:r>
          </w:p>
        </w:tc>
        <w:tc>
          <w:tcPr>
            <w:tcW w:w="412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190 </w:t>
            </w:r>
          </w:p>
        </w:tc>
      </w:tr>
      <w:tr>
        <w:tblPrEx>
          <w:tblCellMar>
            <w:top w:w="0" w:type="dxa"/>
            <w:left w:w="108" w:type="dxa"/>
            <w:bottom w:w="0" w:type="dxa"/>
            <w:right w:w="108" w:type="dxa"/>
          </w:tblCellMar>
        </w:tblPrEx>
        <w:trPr>
          <w:trHeight w:val="402" w:hRule="atLeast"/>
        </w:trPr>
        <w:tc>
          <w:tcPr>
            <w:tcW w:w="458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        计</w:t>
            </w:r>
          </w:p>
        </w:tc>
        <w:tc>
          <w:tcPr>
            <w:tcW w:w="4120" w:type="dxa"/>
            <w:tcBorders>
              <w:top w:val="nil"/>
              <w:left w:val="nil"/>
              <w:bottom w:val="single" w:color="auto" w:sz="8"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80,960 </w:t>
            </w:r>
          </w:p>
        </w:tc>
      </w:tr>
    </w:tbl>
    <w:p>
      <w:pPr>
        <w:jc w:val="left"/>
        <w:rPr>
          <w:rFonts w:ascii="仿宋_GB2312" w:eastAsia="仿宋_GB2312"/>
          <w:color w:val="000000" w:themeColor="text1"/>
          <w:sz w:val="28"/>
          <w:szCs w:val="28"/>
        </w:rPr>
      </w:pPr>
    </w:p>
    <w:p>
      <w:pPr>
        <w:jc w:val="right"/>
        <w:rPr>
          <w:rFonts w:ascii="方正小标宋简体" w:hAnsi="黑体" w:eastAsia="方正小标宋简体"/>
          <w:kern w:val="0"/>
          <w:sz w:val="28"/>
          <w:szCs w:val="28"/>
          <w:lang w:bidi="en-US"/>
        </w:rPr>
      </w:pPr>
    </w:p>
    <w:p>
      <w:pPr>
        <w:tabs>
          <w:tab w:val="left" w:pos="4320"/>
        </w:tabs>
        <w:spacing w:line="360" w:lineRule="auto"/>
        <w:jc w:val="center"/>
        <w:rPr>
          <w:rFonts w:ascii="仿宋_GB2312" w:eastAsia="仿宋_GB2312"/>
          <w:b/>
          <w:color w:val="000000" w:themeColor="text1"/>
          <w:sz w:val="32"/>
          <w:szCs w:val="32"/>
        </w:rPr>
      </w:pPr>
    </w:p>
    <w:p>
      <w:pPr>
        <w:tabs>
          <w:tab w:val="left" w:pos="4320"/>
        </w:tabs>
        <w:spacing w:line="360" w:lineRule="auto"/>
        <w:jc w:val="center"/>
        <w:rPr>
          <w:rFonts w:ascii="仿宋_GB2312" w:eastAsia="仿宋_GB2312"/>
          <w:b/>
          <w:color w:val="000000" w:themeColor="text1"/>
          <w:sz w:val="32"/>
          <w:szCs w:val="32"/>
        </w:rPr>
      </w:pPr>
    </w:p>
    <w:p>
      <w:pPr>
        <w:tabs>
          <w:tab w:val="left" w:pos="4320"/>
        </w:tabs>
        <w:spacing w:line="360" w:lineRule="auto"/>
        <w:rPr>
          <w:rFonts w:ascii="仿宋_GB2312" w:eastAsia="仿宋_GB2312"/>
          <w:b/>
          <w:color w:val="000000" w:themeColor="text1"/>
          <w:sz w:val="32"/>
          <w:szCs w:val="32"/>
        </w:rPr>
      </w:pPr>
    </w:p>
    <w:p>
      <w:pPr>
        <w:pStyle w:val="3"/>
        <w:rPr>
          <w:rStyle w:val="20"/>
          <w:rFonts w:ascii="方正小标宋简体" w:hAnsi="方正小标宋简体" w:eastAsia="方正小标宋简体" w:cs="方正小标宋简体"/>
          <w:bCs w:val="0"/>
          <w:color w:val="auto"/>
          <w:kern w:val="44"/>
          <w:szCs w:val="36"/>
          <w:u w:val="none"/>
        </w:rPr>
      </w:pPr>
      <w:bookmarkStart w:id="29" w:name="_Toc91771916"/>
      <w:r>
        <w:rPr>
          <w:rStyle w:val="20"/>
          <w:rFonts w:hint="eastAsia" w:ascii="方正小标宋简体" w:hAnsi="方正小标宋简体" w:eastAsia="方正小标宋简体" w:cs="方正小标宋简体"/>
          <w:bCs w:val="0"/>
          <w:color w:val="auto"/>
          <w:kern w:val="44"/>
          <w:szCs w:val="36"/>
          <w:u w:val="none"/>
        </w:rPr>
        <w:t>§4 2022年一般公共预算支出功能分类汇总表</w:t>
      </w:r>
      <w:bookmarkEnd w:id="29"/>
    </w:p>
    <w:p>
      <w:pPr>
        <w:spacing w:line="600" w:lineRule="exact"/>
        <w:jc w:val="right"/>
        <w:rPr>
          <w:rFonts w:ascii="仿宋" w:hAnsi="仿宋" w:eastAsia="仿宋" w:cs="仿宋"/>
          <w:kern w:val="0"/>
          <w:sz w:val="28"/>
          <w:szCs w:val="28"/>
          <w:lang w:bidi="en-US"/>
        </w:rPr>
      </w:pPr>
      <w:r>
        <w:rPr>
          <w:rFonts w:hint="eastAsia" w:ascii="仿宋" w:hAnsi="仿宋" w:eastAsia="仿宋" w:cs="仿宋"/>
          <w:kern w:val="0"/>
          <w:sz w:val="28"/>
          <w:szCs w:val="28"/>
          <w:lang w:bidi="en-US"/>
        </w:rPr>
        <w:t>单位：万元</w:t>
      </w:r>
    </w:p>
    <w:tbl>
      <w:tblPr>
        <w:tblStyle w:val="15"/>
        <w:tblW w:w="9513" w:type="dxa"/>
        <w:tblInd w:w="93" w:type="dxa"/>
        <w:tblLayout w:type="autofit"/>
        <w:tblCellMar>
          <w:top w:w="0" w:type="dxa"/>
          <w:left w:w="108" w:type="dxa"/>
          <w:bottom w:w="0" w:type="dxa"/>
          <w:right w:w="108" w:type="dxa"/>
        </w:tblCellMar>
      </w:tblPr>
      <w:tblGrid>
        <w:gridCol w:w="1008"/>
        <w:gridCol w:w="4252"/>
        <w:gridCol w:w="1418"/>
        <w:gridCol w:w="1417"/>
        <w:gridCol w:w="1418"/>
      </w:tblGrid>
      <w:tr>
        <w:tblPrEx>
          <w:tblCellMar>
            <w:top w:w="0" w:type="dxa"/>
            <w:left w:w="108" w:type="dxa"/>
            <w:bottom w:w="0" w:type="dxa"/>
            <w:right w:w="108" w:type="dxa"/>
          </w:tblCellMar>
        </w:tblPrEx>
        <w:trPr>
          <w:trHeight w:val="570" w:hRule="atLeast"/>
        </w:trPr>
        <w:tc>
          <w:tcPr>
            <w:tcW w:w="1008" w:type="dxa"/>
            <w:tcBorders>
              <w:top w:val="single" w:color="auto" w:sz="4" w:space="0"/>
              <w:left w:val="single" w:color="auto" w:sz="4" w:space="0"/>
              <w:bottom w:val="single" w:color="auto" w:sz="4" w:space="0"/>
              <w:right w:val="single" w:color="auto" w:sz="4" w:space="0"/>
            </w:tcBorders>
            <w:shd w:val="clear" w:color="000000" w:fill="CCE8C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科目编码</w:t>
            </w:r>
          </w:p>
        </w:tc>
        <w:tc>
          <w:tcPr>
            <w:tcW w:w="4252"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科目名称</w:t>
            </w:r>
          </w:p>
        </w:tc>
        <w:tc>
          <w:tcPr>
            <w:tcW w:w="1418"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c>
          <w:tcPr>
            <w:tcW w:w="1417"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本级可用财力安排</w:t>
            </w:r>
          </w:p>
        </w:tc>
        <w:tc>
          <w:tcPr>
            <w:tcW w:w="1418" w:type="dxa"/>
            <w:tcBorders>
              <w:top w:val="single" w:color="auto" w:sz="4" w:space="0"/>
              <w:left w:val="nil"/>
              <w:bottom w:val="single" w:color="auto" w:sz="4" w:space="0"/>
              <w:right w:val="single" w:color="auto" w:sz="4" w:space="0"/>
            </w:tcBorders>
            <w:shd w:val="clear" w:color="000000" w:fill="CCE8CF"/>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提前下达</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一般公共预算支出合计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62,000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62,000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一般公共服务支出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9,885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9,885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政府办公厅(室)及相关机构事务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3,274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3,274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发展与改革事务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601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601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统计信息事务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财政事务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872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872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税收事务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600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600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审计事务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20109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海关事务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20111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纪检监察事务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493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493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20113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商贸事务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2,970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2,970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20126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档案事务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20129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群众团体事务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党委办公厅(室)及相关机构事务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组织事务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宣传事务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统战事务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其他共产党事务支出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20138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市场监督管理事务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15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15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20199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其他一般公共服务支出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1,060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1,060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公共安全支出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310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310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武装警察部队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公安</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310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310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国家安全</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检察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法院</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20406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司法</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教育支出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教育管理事务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普通教育</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职业教育</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特殊教育</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20509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教育费附加安排的支出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科学技术支出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3,374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3,374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科学技术管理事务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229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229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基础研究</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应用研究</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技术研究与开发</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科技条件与服务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135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135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科学技术普及</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20608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科技交流与合作</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文化旅游体育与传媒支出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文化和旅游</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体育</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20706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新闻出版电影</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广播电视</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20799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其他文化旅游体育与传媒支出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社会保障和就业支出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1,378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1,378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人力资源和社会保障管理事务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478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478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民政管理事务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行政事业单位养老支出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就业补助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抚恤</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20809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退役安置</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20810</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社会福利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20811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残疾人事业</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20819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最低生活保障</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20820</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临时救助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20826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财政对基本养老保险基金的补助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20828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退役军人管理事务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20899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其他社会保障和就业支出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900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900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卫生健康支出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卫生健康管理事务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公立医院</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基层医疗卫生机构</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公共卫生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中医药</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计划生育事务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21011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行政事业单位医疗</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21012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财政对基本医疗保险基金的补助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21013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医疗救助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21014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优抚对象医疗</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21015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医疗保障管理事务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节能环保支出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3,297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3,297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环境保护管理事务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842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842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环境监测与监察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970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970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污染防治</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1,485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1,485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自然生态保护</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21111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污染减排</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城乡社区支出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1,422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1,422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城乡社区管理事务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1,007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1,007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城乡社区规划与管理</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城乡社区公共设施</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155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155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城乡社区环境卫生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260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260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21299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其他城乡社区支出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农林水支出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3,650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3,650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农业农村</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林业和草原</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水利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3,650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3,650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农村综合改革</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普惠金融发展支出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21399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其他农林水支出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交通运输支出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21401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公路水路运输</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21404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成品油价格改革对交通运输的补贴</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21499</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其他交通运输支出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资源勘探工业信息等支出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33,300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33,300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21507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国有资产监管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33,300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33,300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21508</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支持中小企业发展和管理支出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216</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商业服务业等支出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21602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商业流通事务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金融支出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21701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金融部门行政支出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220</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自然资源海洋气象等支出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533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533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22001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自然资源事务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406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406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22005</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气象事务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127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127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住房保障支出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409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409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22101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保障性安居工程支出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22102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住房改革支出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309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309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224</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灾害防治及应急管理支出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3,234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3,234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22401</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应急管理事务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2,034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2,034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22402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消防事务</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1,200 </w:t>
            </w:r>
          </w:p>
        </w:tc>
        <w:tc>
          <w:tcPr>
            <w:tcW w:w="1417"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1,200 </w:t>
            </w:r>
          </w:p>
        </w:tc>
        <w:tc>
          <w:tcPr>
            <w:tcW w:w="1418" w:type="dxa"/>
            <w:tcBorders>
              <w:top w:val="nil"/>
              <w:left w:val="single" w:color="auto" w:sz="4" w:space="0"/>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227</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预备费</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620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620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232</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债务付息支出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88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88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23203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地方政府一般债务付息支出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88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88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285" w:hRule="atLeast"/>
        </w:trPr>
        <w:tc>
          <w:tcPr>
            <w:tcW w:w="1008" w:type="dxa"/>
            <w:tcBorders>
              <w:top w:val="nil"/>
              <w:left w:val="single" w:color="auto" w:sz="4"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23303</w:t>
            </w:r>
          </w:p>
        </w:tc>
        <w:tc>
          <w:tcPr>
            <w:tcW w:w="4252" w:type="dxa"/>
            <w:tcBorders>
              <w:top w:val="nil"/>
              <w:left w:val="nil"/>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 xml:space="preserve">    地方政府一般债务发行费用支出</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417"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418" w:type="dxa"/>
            <w:tcBorders>
              <w:top w:val="nil"/>
              <w:left w:val="nil"/>
              <w:bottom w:val="single" w:color="auto" w:sz="4" w:space="0"/>
              <w:right w:val="single" w:color="auto" w:sz="4" w:space="0"/>
            </w:tcBorders>
            <w:shd w:val="clear" w:color="000000" w:fill="CCE8CF"/>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bl>
    <w:p>
      <w:pPr>
        <w:spacing w:line="600" w:lineRule="exact"/>
        <w:jc w:val="left"/>
        <w:rPr>
          <w:rFonts w:ascii="仿宋" w:hAnsi="仿宋" w:eastAsia="仿宋" w:cs="仿宋"/>
          <w:kern w:val="0"/>
          <w:sz w:val="28"/>
          <w:szCs w:val="28"/>
          <w:lang w:bidi="en-US"/>
        </w:rPr>
      </w:pPr>
    </w:p>
    <w:p>
      <w:pPr>
        <w:ind w:right="1080"/>
        <w:textAlignment w:val="center"/>
        <w:rPr>
          <w:rFonts w:ascii="方正小标宋简体" w:hAnsi="方正小标宋简体" w:eastAsia="方正小标宋简体" w:cs="方正小标宋简体"/>
          <w:b/>
          <w:color w:val="000000"/>
          <w:sz w:val="36"/>
          <w:szCs w:val="36"/>
        </w:rPr>
      </w:pPr>
    </w:p>
    <w:p>
      <w:pPr>
        <w:pStyle w:val="3"/>
        <w:rPr>
          <w:rStyle w:val="20"/>
          <w:rFonts w:ascii="方正小标宋简体" w:hAnsi="方正小标宋简体" w:eastAsia="方正小标宋简体" w:cs="方正小标宋简体"/>
          <w:bCs w:val="0"/>
          <w:color w:val="auto"/>
          <w:kern w:val="44"/>
          <w:szCs w:val="36"/>
          <w:u w:val="none"/>
        </w:rPr>
      </w:pPr>
      <w:bookmarkStart w:id="30" w:name="_Toc91771917"/>
      <w:r>
        <w:rPr>
          <w:rStyle w:val="20"/>
          <w:rFonts w:hint="eastAsia" w:ascii="方正小标宋简体" w:hAnsi="方正小标宋简体" w:eastAsia="方正小标宋简体" w:cs="方正小标宋简体"/>
          <w:bCs w:val="0"/>
          <w:color w:val="auto"/>
          <w:kern w:val="44"/>
          <w:szCs w:val="36"/>
          <w:u w:val="none"/>
        </w:rPr>
        <w:t>§5 2022年一般公共预算支出功能分类明细表</w:t>
      </w:r>
      <w:bookmarkEnd w:id="30"/>
    </w:p>
    <w:p>
      <w:pPr>
        <w:spacing w:line="60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单位：万元</w:t>
      </w:r>
    </w:p>
    <w:tbl>
      <w:tblPr>
        <w:tblStyle w:val="15"/>
        <w:tblW w:w="8920" w:type="dxa"/>
        <w:tblInd w:w="93" w:type="dxa"/>
        <w:tblLayout w:type="autofit"/>
        <w:tblCellMar>
          <w:top w:w="0" w:type="dxa"/>
          <w:left w:w="108" w:type="dxa"/>
          <w:bottom w:w="0" w:type="dxa"/>
          <w:right w:w="108" w:type="dxa"/>
        </w:tblCellMar>
      </w:tblPr>
      <w:tblGrid>
        <w:gridCol w:w="2060"/>
        <w:gridCol w:w="4660"/>
        <w:gridCol w:w="2200"/>
      </w:tblGrid>
      <w:tr>
        <w:tblPrEx>
          <w:tblCellMar>
            <w:top w:w="0" w:type="dxa"/>
            <w:left w:w="108" w:type="dxa"/>
            <w:bottom w:w="0" w:type="dxa"/>
            <w:right w:w="108" w:type="dxa"/>
          </w:tblCellMar>
        </w:tblPrEx>
        <w:trPr>
          <w:trHeight w:val="402" w:hRule="atLeast"/>
        </w:trPr>
        <w:tc>
          <w:tcPr>
            <w:tcW w:w="206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科目编码</w:t>
            </w:r>
          </w:p>
        </w:tc>
        <w:tc>
          <w:tcPr>
            <w:tcW w:w="466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科目名称</w:t>
            </w:r>
          </w:p>
        </w:tc>
        <w:tc>
          <w:tcPr>
            <w:tcW w:w="220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金额</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201</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一般公共服务</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9,885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20103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政府办公厅(室)及相关机构事务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3,274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2010301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1,654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2010302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653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2010308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信访事务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60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2010399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其他政府办公厅(室)及相关机构事务支出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907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20104</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发展与改革事务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601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2010401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356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2010402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245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20106</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财政事务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872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2010601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372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2010602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23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2010605</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财政国库业务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2010607</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信息化建设</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12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2010608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财政委托业务支出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450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20107</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税收事务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600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2010702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600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20111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纪检监察事务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493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263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230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20113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商贸事务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2,970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2011301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730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2011302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585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2011308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招商引资</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2011399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其他商贸事务支出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20138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市场监督管理事务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15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2013802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20199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其他一般公共服务支出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1,060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2019999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其他一般公共服务支出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1,060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204</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公共安全支出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310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20402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公安</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310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2040202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noWrap/>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310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206</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科学技术支出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3,374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20601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科学技术管理事务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229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2060101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214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2060102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20605</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科技条件与服务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135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2060502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技术创新服务体系</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135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20607</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科学技术普及</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2060799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其他科学技术普及支出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20608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科技交流与合作</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3,000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2060899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其他科技交流与合作支出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3,000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208</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社会保障和就业支出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1,378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20801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人力资源和社会保障管理事务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478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2080101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408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2080102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70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20899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其他社会保障和就业支出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900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2089999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其他社会保障和就业支出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900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210</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卫生健康支出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500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21004</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公共卫生</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500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2100499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其他公共卫生支出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500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211</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节能环保支出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3,297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环境保护管理事务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842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691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151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环境监测与监察</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970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2110299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其他环境监测与监察支出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970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21103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污染防治</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1,485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2110301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大气</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605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2110302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水体</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430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2110399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其他污染防治支出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450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212</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城乡社区支出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1,422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21201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城乡社区管理事务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1,007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2120101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704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2120102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253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2120104</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城管执法</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50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21203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城乡社区公共设施</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155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2120399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其他城乡社区公共设施支出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155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21205</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城乡社区环境卫生</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260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213</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农林水支出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3,650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21303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水利</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3,650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2130337</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南水北调工程管理</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3,650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215</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资源勘探工业信息等支出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33,300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21507</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国有资产监管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33,300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2130799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其他国有资产监管支出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33,300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220</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自然资源海洋气象等支出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533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22001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自然资源事务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406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2200102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120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2200104</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自然资源规划及管理</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286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22005</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气象事务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127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2200502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127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221</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住房保障支出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409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保障性安居工程支出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2210106</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公共租赁住房</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住房改革支出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309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2210201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住房公积金</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309 </w:t>
            </w:r>
          </w:p>
        </w:tc>
      </w:tr>
      <w:tr>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224</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灾害防治及应急管理支出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3,234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22401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应急管理事务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2,034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行政运行</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389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521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2240106</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安全监管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290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2240108</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应急救援</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75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2240109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应急管理</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20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2240199</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其他应急管理支出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739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22402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消防事务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2240202</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一般行政管理事务</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1,200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227</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预备费</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620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232</w:t>
            </w:r>
          </w:p>
        </w:tc>
        <w:tc>
          <w:tcPr>
            <w:tcW w:w="4660" w:type="dxa"/>
            <w:tcBorders>
              <w:top w:val="nil"/>
              <w:left w:val="nil"/>
              <w:bottom w:val="single" w:color="auto" w:sz="4" w:space="0"/>
              <w:right w:val="single" w:color="auto" w:sz="4" w:space="0"/>
            </w:tcBorders>
            <w:shd w:val="clear" w:color="000000" w:fill="D8D8D8"/>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债务付息支出</w:t>
            </w:r>
          </w:p>
        </w:tc>
        <w:tc>
          <w:tcPr>
            <w:tcW w:w="2200" w:type="dxa"/>
            <w:tcBorders>
              <w:top w:val="nil"/>
              <w:left w:val="nil"/>
              <w:bottom w:val="single" w:color="auto" w:sz="4" w:space="0"/>
              <w:right w:val="single" w:color="auto" w:sz="8" w:space="0"/>
            </w:tcBorders>
            <w:shd w:val="clear" w:color="000000" w:fill="D8D8D8"/>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88 </w:t>
            </w:r>
          </w:p>
        </w:tc>
      </w:tr>
      <w:tr>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23203</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地方政府一般债券付息支出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88 </w:t>
            </w:r>
          </w:p>
        </w:tc>
      </w:tr>
      <w:tr>
        <w:tblPrEx>
          <w:tblCellMar>
            <w:top w:w="0" w:type="dxa"/>
            <w:left w:w="108" w:type="dxa"/>
            <w:bottom w:w="0" w:type="dxa"/>
            <w:right w:w="108" w:type="dxa"/>
          </w:tblCellMar>
        </w:tblPrEx>
        <w:trPr>
          <w:trHeight w:val="402" w:hRule="atLeast"/>
        </w:trPr>
        <w:tc>
          <w:tcPr>
            <w:tcW w:w="206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2320301</w:t>
            </w:r>
          </w:p>
        </w:tc>
        <w:tc>
          <w:tcPr>
            <w:tcW w:w="46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地方政府一般债券付息支出</w:t>
            </w:r>
          </w:p>
        </w:tc>
        <w:tc>
          <w:tcPr>
            <w:tcW w:w="2200" w:type="dxa"/>
            <w:tcBorders>
              <w:top w:val="nil"/>
              <w:left w:val="nil"/>
              <w:bottom w:val="single" w:color="auto" w:sz="4" w:space="0"/>
              <w:right w:val="single" w:color="auto" w:sz="8"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xml:space="preserve">              88 </w:t>
            </w:r>
          </w:p>
        </w:tc>
      </w:tr>
      <w:tr>
        <w:tblPrEx>
          <w:tblCellMar>
            <w:top w:w="0" w:type="dxa"/>
            <w:left w:w="108" w:type="dxa"/>
            <w:bottom w:w="0" w:type="dxa"/>
            <w:right w:w="108" w:type="dxa"/>
          </w:tblCellMar>
        </w:tblPrEx>
        <w:trPr>
          <w:trHeight w:val="402" w:hRule="atLeast"/>
        </w:trPr>
        <w:tc>
          <w:tcPr>
            <w:tcW w:w="6720" w:type="dxa"/>
            <w:gridSpan w:val="2"/>
            <w:tcBorders>
              <w:top w:val="single" w:color="auto" w:sz="4" w:space="0"/>
              <w:left w:val="single" w:color="auto" w:sz="8" w:space="0"/>
              <w:bottom w:val="single" w:color="auto" w:sz="8" w:space="0"/>
              <w:right w:val="single" w:color="auto" w:sz="4" w:space="0"/>
            </w:tcBorders>
            <w:shd w:val="clear" w:color="000000" w:fill="BFBFBF"/>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一般公共预算支出合计</w:t>
            </w:r>
          </w:p>
        </w:tc>
        <w:tc>
          <w:tcPr>
            <w:tcW w:w="2200" w:type="dxa"/>
            <w:tcBorders>
              <w:top w:val="nil"/>
              <w:left w:val="nil"/>
              <w:bottom w:val="single" w:color="auto" w:sz="8" w:space="0"/>
              <w:right w:val="single" w:color="auto" w:sz="8" w:space="0"/>
            </w:tcBorders>
            <w:shd w:val="clear" w:color="000000" w:fill="BFBFBF"/>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62,000 </w:t>
            </w:r>
          </w:p>
        </w:tc>
      </w:tr>
    </w:tbl>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Pr>
        <w:spacing w:line="600" w:lineRule="exact"/>
        <w:jc w:val="right"/>
        <w:rPr>
          <w:rFonts w:ascii="仿宋_GB2312" w:hAnsi="宋体" w:eastAsia="仿宋_GB2312" w:cs="宋体"/>
          <w:color w:val="000000"/>
          <w:kern w:val="0"/>
          <w:sz w:val="28"/>
          <w:szCs w:val="28"/>
        </w:rPr>
      </w:pPr>
    </w:p>
    <w:p/>
    <w:p>
      <w:pPr>
        <w:pStyle w:val="3"/>
        <w:rPr>
          <w:rStyle w:val="20"/>
          <w:rFonts w:ascii="方正小标宋简体" w:hAnsi="方正小标宋简体" w:eastAsia="方正小标宋简体" w:cs="方正小标宋简体"/>
          <w:bCs w:val="0"/>
          <w:color w:val="auto"/>
          <w:kern w:val="44"/>
          <w:szCs w:val="36"/>
          <w:u w:val="none"/>
        </w:rPr>
      </w:pPr>
      <w:bookmarkStart w:id="31" w:name="_Toc91771918"/>
      <w:r>
        <w:rPr>
          <w:rStyle w:val="20"/>
          <w:rFonts w:hint="eastAsia" w:ascii="方正小标宋简体" w:hAnsi="方正小标宋简体" w:eastAsia="方正小标宋简体" w:cs="方正小标宋简体"/>
          <w:bCs w:val="0"/>
          <w:color w:val="auto"/>
          <w:kern w:val="44"/>
          <w:szCs w:val="36"/>
          <w:u w:val="none"/>
        </w:rPr>
        <w:t>§6  2022年基本支出经济分类汇总表</w:t>
      </w:r>
      <w:bookmarkEnd w:id="31"/>
      <w:r>
        <w:rPr>
          <w:rStyle w:val="20"/>
          <w:rFonts w:hint="eastAsia" w:ascii="方正小标宋简体" w:hAnsi="方正小标宋简体" w:eastAsia="方正小标宋简体" w:cs="方正小标宋简体"/>
          <w:bCs w:val="0"/>
          <w:color w:val="auto"/>
          <w:kern w:val="44"/>
          <w:szCs w:val="36"/>
          <w:u w:val="none"/>
        </w:rPr>
        <w:t xml:space="preserve">  </w:t>
      </w:r>
    </w:p>
    <w:p>
      <w:pPr>
        <w:spacing w:line="60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单位：万元</w:t>
      </w:r>
    </w:p>
    <w:tbl>
      <w:tblPr>
        <w:tblStyle w:val="15"/>
        <w:tblW w:w="8920" w:type="dxa"/>
        <w:tblInd w:w="93" w:type="dxa"/>
        <w:tblLayout w:type="autofit"/>
        <w:tblCellMar>
          <w:top w:w="0" w:type="dxa"/>
          <w:left w:w="108" w:type="dxa"/>
          <w:bottom w:w="0" w:type="dxa"/>
          <w:right w:w="108" w:type="dxa"/>
        </w:tblCellMar>
      </w:tblPr>
      <w:tblGrid>
        <w:gridCol w:w="2440"/>
        <w:gridCol w:w="4560"/>
        <w:gridCol w:w="1920"/>
      </w:tblGrid>
      <w:tr>
        <w:tblPrEx>
          <w:tblCellMar>
            <w:top w:w="0" w:type="dxa"/>
            <w:left w:w="108" w:type="dxa"/>
            <w:bottom w:w="0" w:type="dxa"/>
            <w:right w:w="108" w:type="dxa"/>
          </w:tblCellMar>
        </w:tblPrEx>
        <w:trPr>
          <w:trHeight w:val="499" w:hRule="atLeast"/>
        </w:trPr>
        <w:tc>
          <w:tcPr>
            <w:tcW w:w="244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科目编码</w:t>
            </w:r>
          </w:p>
        </w:tc>
        <w:tc>
          <w:tcPr>
            <w:tcW w:w="456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科目名称</w:t>
            </w:r>
          </w:p>
        </w:tc>
        <w:tc>
          <w:tcPr>
            <w:tcW w:w="19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金额</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总计</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6,090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301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一、工资福利支出</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5,792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基本工资</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1,452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30102</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津贴补贴</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649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30103</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奖金</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146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30107</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绩效工资</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2,583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30108</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机关事业单位基本养老保险缴费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255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30109</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职业年金缴费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45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30110</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职工基本医疗保险缴费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192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30111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公务员医疗补助缴费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153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30112</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其他社会保障缴费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8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30113</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住房公积金</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309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302</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二、商品和服务支出</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279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办公费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64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30202</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印刷费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10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30203</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咨询费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30205</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水费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30206</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电费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30207</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邮电费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8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30209</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物业管理费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4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30211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差旅费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66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30215</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会议费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30216</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培训费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4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30217</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公务接待费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2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30228</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工会经费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56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30229</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福利费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8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30231</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公务用车运行维护费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36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30299</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其他商品和服务支出</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5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303</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b/>
                <w:bCs/>
                <w:color w:val="000000"/>
                <w:kern w:val="0"/>
                <w:sz w:val="24"/>
              </w:rPr>
            </w:pPr>
            <w:r>
              <w:rPr>
                <w:rFonts w:hint="eastAsia" w:ascii="仿宋" w:hAnsi="仿宋" w:eastAsia="仿宋" w:cs="宋体"/>
                <w:b/>
                <w:bCs/>
                <w:color w:val="000000"/>
                <w:kern w:val="0"/>
                <w:sz w:val="24"/>
              </w:rPr>
              <w:t>三、对个人和家庭的补助</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19 </w:t>
            </w:r>
          </w:p>
        </w:tc>
      </w:tr>
      <w:tr>
        <w:tblPrEx>
          <w:tblCellMar>
            <w:top w:w="0" w:type="dxa"/>
            <w:left w:w="108" w:type="dxa"/>
            <w:bottom w:w="0" w:type="dxa"/>
            <w:right w:w="108" w:type="dxa"/>
          </w:tblCellMar>
        </w:tblPrEx>
        <w:trPr>
          <w:trHeight w:val="360" w:hRule="atLeast"/>
        </w:trPr>
        <w:tc>
          <w:tcPr>
            <w:tcW w:w="24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30302</w:t>
            </w:r>
          </w:p>
        </w:tc>
        <w:tc>
          <w:tcPr>
            <w:tcW w:w="456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4"/>
              </w:rPr>
            </w:pPr>
            <w:r>
              <w:rPr>
                <w:rFonts w:hint="eastAsia" w:ascii="仿宋" w:hAnsi="仿宋" w:eastAsia="仿宋" w:cs="宋体"/>
                <w:color w:val="000000"/>
                <w:kern w:val="0"/>
                <w:sz w:val="24"/>
              </w:rPr>
              <w:t xml:space="preserve">    退休费</w:t>
            </w:r>
          </w:p>
        </w:tc>
        <w:tc>
          <w:tcPr>
            <w:tcW w:w="1920" w:type="dxa"/>
            <w:tcBorders>
              <w:top w:val="nil"/>
              <w:left w:val="nil"/>
              <w:bottom w:val="single" w:color="auto" w:sz="4" w:space="0"/>
              <w:right w:val="single" w:color="auto" w:sz="8"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19 </w:t>
            </w:r>
          </w:p>
        </w:tc>
      </w:tr>
    </w:tbl>
    <w:p>
      <w:pPr>
        <w:pStyle w:val="3"/>
        <w:rPr>
          <w:rStyle w:val="20"/>
          <w:rFonts w:ascii="方正小标宋简体" w:hAnsi="方正小标宋简体" w:eastAsia="方正小标宋简体" w:cs="方正小标宋简体"/>
          <w:bCs w:val="0"/>
          <w:color w:val="auto"/>
          <w:kern w:val="44"/>
          <w:szCs w:val="36"/>
          <w:u w:val="none"/>
        </w:rPr>
      </w:pPr>
      <w:bookmarkStart w:id="32" w:name="_Toc91771919"/>
      <w:bookmarkStart w:id="33" w:name="_Toc64555279"/>
      <w:bookmarkStart w:id="34" w:name="_Toc503275889"/>
      <w:r>
        <w:rPr>
          <w:rStyle w:val="20"/>
          <w:rFonts w:ascii="方正小标宋简体" w:hAnsi="方正小标宋简体" w:eastAsia="方正小标宋简体" w:cs="方正小标宋简体"/>
          <w:bCs w:val="0"/>
          <w:color w:val="auto"/>
          <w:kern w:val="44"/>
          <w:szCs w:val="36"/>
          <w:u w:val="none"/>
        </w:rPr>
        <w:t>§7  2022年一般公共预算安排意见明细表</w:t>
      </w:r>
      <w:bookmarkEnd w:id="32"/>
    </w:p>
    <w:p>
      <w:pPr>
        <w:spacing w:line="600" w:lineRule="exact"/>
        <w:jc w:val="right"/>
      </w:pPr>
      <w:r>
        <w:rPr>
          <w:rFonts w:hint="eastAsia" w:ascii="仿宋_GB2312" w:hAnsi="宋体" w:eastAsia="仿宋_GB2312" w:cs="宋体"/>
          <w:color w:val="000000"/>
          <w:kern w:val="0"/>
          <w:sz w:val="28"/>
          <w:szCs w:val="28"/>
        </w:rPr>
        <w:t>单位：万元</w:t>
      </w:r>
    </w:p>
    <w:tbl>
      <w:tblPr>
        <w:tblStyle w:val="15"/>
        <w:tblW w:w="9087" w:type="dxa"/>
        <w:tblInd w:w="93" w:type="dxa"/>
        <w:tblLayout w:type="autofit"/>
        <w:tblCellMar>
          <w:top w:w="0" w:type="dxa"/>
          <w:left w:w="108" w:type="dxa"/>
          <w:bottom w:w="0" w:type="dxa"/>
          <w:right w:w="108" w:type="dxa"/>
        </w:tblCellMar>
      </w:tblPr>
      <w:tblGrid>
        <w:gridCol w:w="5544"/>
        <w:gridCol w:w="3543"/>
      </w:tblGrid>
      <w:tr>
        <w:tblPrEx>
          <w:tblCellMar>
            <w:top w:w="0" w:type="dxa"/>
            <w:left w:w="108" w:type="dxa"/>
            <w:bottom w:w="0" w:type="dxa"/>
            <w:right w:w="108" w:type="dxa"/>
          </w:tblCellMar>
        </w:tblPrEx>
        <w:trPr>
          <w:trHeight w:val="285" w:hRule="atLeast"/>
        </w:trPr>
        <w:tc>
          <w:tcPr>
            <w:tcW w:w="5544" w:type="dxa"/>
            <w:tcBorders>
              <w:top w:val="single" w:color="auto" w:sz="8" w:space="0"/>
              <w:left w:val="single" w:color="auto" w:sz="8" w:space="0"/>
              <w:bottom w:val="single" w:color="auto" w:sz="4" w:space="0"/>
              <w:right w:val="single" w:color="auto" w:sz="4" w:space="0"/>
            </w:tcBorders>
            <w:shd w:val="clear" w:color="000000" w:fill="CCE8CF"/>
            <w:vAlign w:val="bottom"/>
          </w:tcPr>
          <w:p>
            <w:pPr>
              <w:widowControl/>
              <w:jc w:val="center"/>
              <w:rPr>
                <w:rFonts w:ascii="宋体" w:hAnsi="宋体" w:cs="宋体"/>
                <w:b/>
                <w:bCs/>
                <w:color w:val="000000"/>
                <w:kern w:val="0"/>
                <w:sz w:val="24"/>
              </w:rPr>
            </w:pPr>
            <w:r>
              <w:rPr>
                <w:rFonts w:hint="eastAsia" w:ascii="宋体" w:hAnsi="宋体" w:cs="宋体"/>
                <w:b/>
                <w:bCs/>
                <w:color w:val="000000"/>
                <w:kern w:val="0"/>
                <w:sz w:val="24"/>
              </w:rPr>
              <w:t>预算安排项目</w:t>
            </w:r>
          </w:p>
        </w:tc>
        <w:tc>
          <w:tcPr>
            <w:tcW w:w="3543" w:type="dxa"/>
            <w:tcBorders>
              <w:top w:val="single" w:color="auto" w:sz="8" w:space="0"/>
              <w:left w:val="nil"/>
              <w:bottom w:val="single" w:color="auto" w:sz="4" w:space="0"/>
              <w:right w:val="single" w:color="auto" w:sz="8" w:space="0"/>
            </w:tcBorders>
            <w:shd w:val="clear" w:color="000000" w:fill="CCE8CF"/>
            <w:vAlign w:val="bottom"/>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合  计</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62,000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（一）工资性支出安排</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6,871 </w:t>
            </w:r>
          </w:p>
        </w:tc>
      </w:tr>
      <w:tr>
        <w:tblPrEx>
          <w:tblCellMar>
            <w:top w:w="0" w:type="dxa"/>
            <w:left w:w="108" w:type="dxa"/>
            <w:bottom w:w="0" w:type="dxa"/>
            <w:right w:w="108" w:type="dxa"/>
          </w:tblCellMar>
        </w:tblPrEx>
        <w:trPr>
          <w:trHeight w:val="85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机关事业单位工资性支出（含正常晋级和增人增资、职级并行、预留调资、精神文明奖、目标绩效管理奖、医疗保险和医疗补助）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6,871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机关事业养老保险缺口补助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（二）公用经费安排</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5,294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正常公用经费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279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专项业务费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4,595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购置费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70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hint="eastAsia" w:ascii="仿宋_GB2312" w:hAnsi="仿宋_GB2312" w:cs="宋体"/>
                <w:color w:val="000000"/>
                <w:kern w:val="0"/>
                <w:sz w:val="24"/>
                <w:lang w:eastAsia="zh-CN"/>
              </w:rPr>
              <w:t>“</w:t>
            </w:r>
            <w:r>
              <w:rPr>
                <w:rFonts w:ascii="仿宋_GB2312" w:hAnsi="仿宋_GB2312" w:cs="宋体"/>
                <w:color w:val="000000"/>
                <w:kern w:val="0"/>
                <w:sz w:val="24"/>
              </w:rPr>
              <w:t>十四五</w:t>
            </w:r>
            <w:r>
              <w:rPr>
                <w:rFonts w:hint="eastAsia" w:ascii="仿宋_GB2312" w:hAnsi="仿宋_GB2312" w:cs="宋体"/>
                <w:color w:val="000000"/>
                <w:kern w:val="0"/>
                <w:sz w:val="24"/>
                <w:lang w:eastAsia="zh-CN"/>
              </w:rPr>
              <w:t>”</w:t>
            </w:r>
            <w:bookmarkStart w:id="87" w:name="_GoBack"/>
            <w:bookmarkEnd w:id="87"/>
            <w:r>
              <w:rPr>
                <w:rFonts w:ascii="仿宋_GB2312" w:hAnsi="仿宋_GB2312" w:cs="宋体"/>
                <w:color w:val="000000"/>
                <w:kern w:val="0"/>
                <w:sz w:val="24"/>
              </w:rPr>
              <w:t>规划等编制费用</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评审咨询服务费（含PPP项目、债券发行、固定资产投资项目评估审查、财政投资评审等）</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350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单位不可预见应急公用支出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（三）政府债务还本付息支出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88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偿还到期一般政府债券本金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新增债券利息及发行兑付服务费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88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PPP项目政府付费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国债转贷及外国政府贷款还本付息</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（四）社会保障和就业支出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900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企业养老保险基金缺口补助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机关事业及改制前后退休人员补贴</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退役军人就业救助资金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新区全额财政单位死亡人员一次性抚恤金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企业离休人员待遇保障专项资金（含企业离休人员生活补助、企业离休干部公用经费和遗属补助等）</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社会保障资金县级配套</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创业孵化基地补贴资金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新村乡四村、排河村社保综合保障基本生活补贴及养老补贴及教育保障经费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再就业资金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灵活就业社保医保补贴</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港城人力资源和社会保障管理费用</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center"/>
          </w:tcPr>
          <w:p>
            <w:pPr>
              <w:widowControl/>
              <w:rPr>
                <w:rFonts w:ascii="仿宋_GB2312" w:hAnsi="仿宋_GB2312" w:cs="宋体"/>
                <w:color w:val="000000"/>
                <w:kern w:val="0"/>
                <w:sz w:val="24"/>
              </w:rPr>
            </w:pPr>
            <w:r>
              <w:rPr>
                <w:rFonts w:ascii="仿宋_GB2312" w:hAnsi="仿宋_GB2312" w:cs="宋体"/>
                <w:color w:val="000000"/>
                <w:kern w:val="0"/>
                <w:sz w:val="24"/>
              </w:rPr>
              <w:t>老年人生活费及高冷补贴</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农民工工资保障金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500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疫情防控专项经费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辛庄子转型生活费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400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（五）卫生健康支出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500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城乡居民基本医疗保险（含农村建档立卡人口提高待遇、城乡居民医保个人缴费贫困人口补助）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离休干部医药费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医疗救助补助资金（含医疗济困、应急救助、医疗补助、优抚对象医疗补助）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公立医院补助资金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卫生与计划生育专项资金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基本公共卫生服务补助资金（含乡医实行基本药物制度补助）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乡镇卫生院（含社区卫生服务中心）补助资金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60周岁免费体检</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疫情防控资金</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500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（六）教育支出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北师大附校补助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城乡义务教育公用经费（含普通高中助学金配套）</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中小学及幼儿园经费补助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中小学及幼儿园建设补助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中小学教学设备专项资金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改善中小学办学条件</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中小学校及幼儿园取暖费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共享体育场及运动休闲城市创建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发展教育专项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（七）文化宣传体育等支出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宣传经费及融媒体建设</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（八）科技和人才支出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3,945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科技创新、重大科技专项、重点研发计划专项资金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创新创业人才支持、</w:t>
            </w:r>
            <w:r>
              <w:rPr>
                <w:rFonts w:hint="eastAsia" w:ascii="宋体" w:hAnsi="宋体" w:cs="宋体"/>
                <w:color w:val="000000"/>
                <w:kern w:val="0"/>
                <w:sz w:val="24"/>
              </w:rPr>
              <w:t>“</w:t>
            </w:r>
            <w:r>
              <w:rPr>
                <w:rFonts w:ascii="仿宋_GB2312" w:hAnsi="仿宋_GB2312" w:cs="宋体"/>
                <w:color w:val="000000"/>
                <w:kern w:val="0"/>
                <w:sz w:val="24"/>
              </w:rPr>
              <w:t>双创</w:t>
            </w:r>
            <w:r>
              <w:rPr>
                <w:rFonts w:hint="eastAsia" w:ascii="宋体" w:hAnsi="宋体" w:cs="宋体"/>
                <w:color w:val="000000"/>
                <w:kern w:val="0"/>
                <w:sz w:val="24"/>
              </w:rPr>
              <w:t>”</w:t>
            </w:r>
            <w:r>
              <w:rPr>
                <w:rFonts w:ascii="仿宋_GB2312" w:hAnsi="仿宋_GB2312" w:cs="宋体"/>
                <w:color w:val="000000"/>
                <w:kern w:val="0"/>
                <w:sz w:val="24"/>
              </w:rPr>
              <w:t>服务平台建设等</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135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南开大学绿色化工研究院项目</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3,000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智能大数据平台项目</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500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省重点园区信息化试点提升改造项目</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环保综合信息监控平台项目</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200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科普活动经费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（九）扶贫惠农方面专项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127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气象专项资金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127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农业保险保费补贴资金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（十）维护公共安全方面支出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1,510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公安局巡逻防控网等信息化建设项目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公安局装备设备购置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巡特警补助、民警加班费及意外伤害保险等</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派出所及执法办案管理中心建设</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反恐处突击安全训练场所建设及相关经费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办公设施、办公楼主体院区更新维修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警务站及巡特警训练经费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检察院业务用房修缮等</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雪亮工程</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扫黑除恶、禁毒、大要案等经费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社会治安综合治理工作经费（含市区流动人口协管员、行政复议、群众举报、油气田安保经费）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处置非访等群体性事件经费（含驻京处置非访专项资金）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监察委留置场所执勤人员补助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消防业务专项经费</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1,200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FFFF00"/>
            <w:vAlign w:val="bottom"/>
          </w:tcPr>
          <w:p>
            <w:pPr>
              <w:widowControl/>
              <w:rPr>
                <w:rFonts w:ascii="仿宋_GB2312" w:hAnsi="仿宋_GB2312" w:cs="宋体"/>
                <w:color w:val="000000"/>
                <w:kern w:val="0"/>
                <w:sz w:val="24"/>
              </w:rPr>
            </w:pPr>
            <w:r>
              <w:rPr>
                <w:rFonts w:ascii="仿宋_GB2312" w:hAnsi="仿宋_GB2312" w:cs="宋体"/>
                <w:color w:val="000000"/>
                <w:kern w:val="0"/>
                <w:sz w:val="24"/>
              </w:rPr>
              <w:t>公安协调组交警大队专项经费</w:t>
            </w:r>
          </w:p>
        </w:tc>
        <w:tc>
          <w:tcPr>
            <w:tcW w:w="3543" w:type="dxa"/>
            <w:tcBorders>
              <w:top w:val="nil"/>
              <w:left w:val="nil"/>
              <w:bottom w:val="single" w:color="auto" w:sz="4" w:space="0"/>
              <w:right w:val="single" w:color="auto" w:sz="8" w:space="0"/>
            </w:tcBorders>
            <w:shd w:val="clear" w:color="000000" w:fill="FFFF00"/>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310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（十一）公共服务支出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985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社区党组织服务群众专项经费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纪检监察综合保障经费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230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电子政务内网建设</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税务局经费补助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600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黄骅港海关经费补助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海事局经费补助</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招商引资专项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155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（十二）环境保护生态治理支出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2,406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冬季清洁取暖资金（另从收回的蓝天基金中安排18125万元）</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通达公交运营补贴</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85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污染源在线设备远程质控系统运维、市区大气网格化监管平台运维、机动车尾气遥测设备及运维服务、餐厨油烟治理、环保督察等项目资金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水质监测及水污染治理资金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港城区工业固体废物和医疗废物基础调查</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空气质量检测及非道路移动机械排气检测服务</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环保管家基础调查和执法跟踪服务项目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环境保护专项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2,406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（十三）城市建设支出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5,454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港城区客运站项目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绿化项目</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港城大街翻修、中疏港路东段翻修工程、疏港公路综合枢纽工程</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城市维护支出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304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南水北调支出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3,650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电力线路建设支出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招商项目基础设施配套支出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1,500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新村一级渔港改扩建工程</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渤海新区国土空间总体规划编制</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570"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农村不动产登记及土地利用、土地调查、违法占地整改验收等工作经费</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（十四）经济建设发展支出</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33,300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支持高质量发展专项资金</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285" w:hRule="atLeast"/>
        </w:trPr>
        <w:tc>
          <w:tcPr>
            <w:tcW w:w="5544" w:type="dxa"/>
            <w:tcBorders>
              <w:top w:val="nil"/>
              <w:left w:val="single" w:color="auto" w:sz="8" w:space="0"/>
              <w:bottom w:val="single" w:color="auto" w:sz="4" w:space="0"/>
              <w:right w:val="single" w:color="auto" w:sz="4" w:space="0"/>
            </w:tcBorders>
            <w:shd w:val="clear" w:color="000000" w:fill="CCE8CF"/>
            <w:vAlign w:val="bottom"/>
          </w:tcPr>
          <w:p>
            <w:pPr>
              <w:widowControl/>
              <w:rPr>
                <w:rFonts w:ascii="仿宋_GB2312" w:hAnsi="仿宋_GB2312" w:cs="宋体"/>
                <w:color w:val="000000"/>
                <w:kern w:val="0"/>
                <w:sz w:val="24"/>
              </w:rPr>
            </w:pPr>
            <w:r>
              <w:rPr>
                <w:rFonts w:ascii="仿宋_GB2312" w:hAnsi="仿宋_GB2312" w:cs="宋体"/>
                <w:color w:val="000000"/>
                <w:kern w:val="0"/>
                <w:sz w:val="24"/>
              </w:rPr>
              <w:t>临港兴泓科技公司等区属国有企业资本金注入</w:t>
            </w:r>
          </w:p>
        </w:tc>
        <w:tc>
          <w:tcPr>
            <w:tcW w:w="3543" w:type="dxa"/>
            <w:tcBorders>
              <w:top w:val="nil"/>
              <w:left w:val="nil"/>
              <w:bottom w:val="single" w:color="auto" w:sz="4" w:space="0"/>
              <w:right w:val="single" w:color="auto" w:sz="8" w:space="0"/>
            </w:tcBorders>
            <w:shd w:val="clear" w:color="000000" w:fill="CCE8CF"/>
            <w:vAlign w:val="bottom"/>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33,300 </w:t>
            </w:r>
          </w:p>
        </w:tc>
      </w:tr>
      <w:tr>
        <w:tblPrEx>
          <w:tblCellMar>
            <w:top w:w="0" w:type="dxa"/>
            <w:left w:w="108" w:type="dxa"/>
            <w:bottom w:w="0" w:type="dxa"/>
            <w:right w:w="108" w:type="dxa"/>
          </w:tblCellMar>
        </w:tblPrEx>
        <w:trPr>
          <w:trHeight w:val="300" w:hRule="atLeast"/>
        </w:trPr>
        <w:tc>
          <w:tcPr>
            <w:tcW w:w="5544" w:type="dxa"/>
            <w:tcBorders>
              <w:top w:val="nil"/>
              <w:left w:val="single" w:color="auto" w:sz="8" w:space="0"/>
              <w:bottom w:val="single" w:color="auto" w:sz="8" w:space="0"/>
              <w:right w:val="single" w:color="auto" w:sz="4" w:space="0"/>
            </w:tcBorders>
            <w:shd w:val="clear" w:color="000000" w:fill="CCE8CF"/>
            <w:vAlign w:val="bottom"/>
          </w:tcPr>
          <w:p>
            <w:pPr>
              <w:widowControl/>
              <w:rPr>
                <w:rFonts w:ascii="仿宋_GB2312" w:hAnsi="仿宋_GB2312" w:cs="宋体"/>
                <w:b/>
                <w:bCs/>
                <w:color w:val="000000"/>
                <w:kern w:val="0"/>
                <w:sz w:val="24"/>
              </w:rPr>
            </w:pPr>
            <w:r>
              <w:rPr>
                <w:rFonts w:ascii="仿宋_GB2312" w:hAnsi="仿宋_GB2312" w:cs="宋体"/>
                <w:b/>
                <w:bCs/>
                <w:color w:val="000000"/>
                <w:kern w:val="0"/>
                <w:sz w:val="24"/>
              </w:rPr>
              <w:t>（十五）预备费</w:t>
            </w:r>
          </w:p>
        </w:tc>
        <w:tc>
          <w:tcPr>
            <w:tcW w:w="3543" w:type="dxa"/>
            <w:tcBorders>
              <w:top w:val="nil"/>
              <w:left w:val="nil"/>
              <w:bottom w:val="single" w:color="auto" w:sz="8" w:space="0"/>
              <w:right w:val="single" w:color="auto" w:sz="8" w:space="0"/>
            </w:tcBorders>
            <w:shd w:val="clear" w:color="000000" w:fill="CCE8CF"/>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 xml:space="preserve">                    620 </w:t>
            </w:r>
          </w:p>
        </w:tc>
      </w:tr>
    </w:tbl>
    <w:p>
      <w:pPr>
        <w:pStyle w:val="3"/>
        <w:rPr>
          <w:rStyle w:val="20"/>
          <w:rFonts w:ascii="方正小标宋简体" w:hAnsi="方正小标宋简体" w:eastAsia="方正小标宋简体" w:cs="方正小标宋简体"/>
          <w:bCs w:val="0"/>
          <w:color w:val="auto"/>
          <w:kern w:val="44"/>
          <w:szCs w:val="36"/>
          <w:u w:val="none"/>
        </w:rPr>
      </w:pPr>
    </w:p>
    <w:p/>
    <w:p/>
    <w:p/>
    <w:p/>
    <w:p/>
    <w:p/>
    <w:p/>
    <w:p/>
    <w:p/>
    <w:p/>
    <w:p/>
    <w:p/>
    <w:p/>
    <w:p/>
    <w:p/>
    <w:p/>
    <w:p/>
    <w:p/>
    <w:p/>
    <w:p/>
    <w:p/>
    <w:p/>
    <w:p/>
    <w:p/>
    <w:p/>
    <w:p>
      <w:pPr>
        <w:pStyle w:val="3"/>
        <w:rPr>
          <w:rStyle w:val="20"/>
          <w:rFonts w:ascii="方正小标宋简体" w:hAnsi="方正小标宋简体" w:eastAsia="方正小标宋简体" w:cs="方正小标宋简体"/>
          <w:bCs w:val="0"/>
          <w:color w:val="auto"/>
          <w:kern w:val="44"/>
          <w:szCs w:val="36"/>
          <w:u w:val="none"/>
        </w:rPr>
      </w:pPr>
      <w:bookmarkStart w:id="35" w:name="_Toc91771920"/>
      <w:r>
        <w:rPr>
          <w:rStyle w:val="20"/>
          <w:rFonts w:hint="eastAsia" w:ascii="方正小标宋简体" w:hAnsi="方正小标宋简体" w:eastAsia="方正小标宋简体" w:cs="方正小标宋简体"/>
          <w:bCs w:val="0"/>
          <w:color w:val="auto"/>
          <w:kern w:val="44"/>
          <w:szCs w:val="36"/>
          <w:u w:val="none"/>
        </w:rPr>
        <w:t>§8  2022年财政资金安排“三公</w:t>
      </w:r>
      <w:r>
        <w:rPr>
          <w:rStyle w:val="20"/>
          <w:rFonts w:hint="eastAsia" w:ascii="方正小标宋简体" w:hAnsi="方正小标宋简体" w:eastAsia="方正小标宋简体" w:cs="方正小标宋简体"/>
          <w:bCs w:val="0"/>
          <w:color w:val="auto"/>
          <w:kern w:val="44"/>
          <w:szCs w:val="36"/>
          <w:u w:val="none"/>
          <w:lang w:eastAsia="zh-CN"/>
        </w:rPr>
        <w:t>”</w:t>
      </w:r>
      <w:r>
        <w:rPr>
          <w:rStyle w:val="20"/>
          <w:rFonts w:hint="eastAsia" w:ascii="方正小标宋简体" w:hAnsi="方正小标宋简体" w:eastAsia="方正小标宋简体" w:cs="方正小标宋简体"/>
          <w:bCs w:val="0"/>
          <w:color w:val="auto"/>
          <w:kern w:val="44"/>
          <w:szCs w:val="36"/>
          <w:u w:val="none"/>
        </w:rPr>
        <w:t>经费预算情况</w:t>
      </w:r>
      <w:bookmarkEnd w:id="33"/>
      <w:bookmarkEnd w:id="34"/>
      <w:bookmarkEnd w:id="35"/>
    </w:p>
    <w:p>
      <w:pPr>
        <w:spacing w:line="600" w:lineRule="exact"/>
        <w:ind w:firstLine="600" w:firstLineChars="200"/>
        <w:rPr>
          <w:rFonts w:ascii="方正小标宋简体" w:hAnsi="黑体" w:eastAsia="方正小标宋简体"/>
          <w:kern w:val="0"/>
          <w:sz w:val="36"/>
          <w:szCs w:val="36"/>
          <w:lang w:bidi="en-US"/>
        </w:rPr>
      </w:pPr>
      <w:r>
        <w:rPr>
          <w:rFonts w:hint="eastAsia" w:ascii="仿宋_GB2312" w:eastAsia="仿宋_GB2312"/>
          <w:color w:val="000000" w:themeColor="text1"/>
          <w:sz w:val="30"/>
          <w:szCs w:val="30"/>
        </w:rPr>
        <w:t>2022年我区预算安排“三公</w:t>
      </w:r>
      <w:r>
        <w:rPr>
          <w:rFonts w:hint="eastAsia" w:ascii="仿宋_GB2312" w:eastAsia="仿宋_GB2312"/>
          <w:color w:val="000000" w:themeColor="text1"/>
          <w:sz w:val="30"/>
          <w:szCs w:val="30"/>
          <w:lang w:eastAsia="zh-CN"/>
        </w:rPr>
        <w:t>”</w:t>
      </w:r>
      <w:r>
        <w:rPr>
          <w:rFonts w:hint="eastAsia" w:ascii="仿宋_GB2312" w:eastAsia="仿宋_GB2312"/>
          <w:color w:val="000000" w:themeColor="text1"/>
          <w:sz w:val="30"/>
          <w:szCs w:val="30"/>
        </w:rPr>
        <w:t>经费177万元，预计同比下降0.56%。主要包括公务用车运行费55万元，车辆购置费70万元，公务接待费42万元，与上年持平，因公出国经费10万元，同比下降66.7%。</w:t>
      </w:r>
    </w:p>
    <w:p>
      <w:pPr>
        <w:ind w:firstLine="615"/>
        <w:rPr>
          <w:rFonts w:ascii="仿宋_GB2312" w:eastAsia="仿宋_GB2312"/>
          <w:color w:val="000000" w:themeColor="text1"/>
          <w:sz w:val="30"/>
          <w:szCs w:val="30"/>
        </w:rPr>
      </w:pPr>
      <w:r>
        <w:rPr>
          <w:rFonts w:hint="eastAsia" w:ascii="仿宋_GB2312" w:eastAsia="仿宋_GB2312"/>
          <w:color w:val="000000" w:themeColor="text1"/>
          <w:sz w:val="30"/>
          <w:szCs w:val="30"/>
        </w:rPr>
        <w:t>具体如下：</w:t>
      </w:r>
    </w:p>
    <w:p>
      <w:pPr>
        <w:ind w:firstLine="615"/>
        <w:rPr>
          <w:rFonts w:ascii="仿宋_GB2312" w:eastAsia="仿宋_GB2312"/>
          <w:color w:val="000000" w:themeColor="text1"/>
          <w:sz w:val="30"/>
          <w:szCs w:val="30"/>
        </w:rPr>
      </w:pPr>
    </w:p>
    <w:tbl>
      <w:tblPr>
        <w:tblStyle w:val="15"/>
        <w:tblW w:w="9080" w:type="dxa"/>
        <w:tblInd w:w="93" w:type="dxa"/>
        <w:tblLayout w:type="autofit"/>
        <w:tblCellMar>
          <w:top w:w="0" w:type="dxa"/>
          <w:left w:w="108" w:type="dxa"/>
          <w:bottom w:w="0" w:type="dxa"/>
          <w:right w:w="108" w:type="dxa"/>
        </w:tblCellMar>
      </w:tblPr>
      <w:tblGrid>
        <w:gridCol w:w="1660"/>
        <w:gridCol w:w="1540"/>
        <w:gridCol w:w="1520"/>
        <w:gridCol w:w="1160"/>
        <w:gridCol w:w="1160"/>
        <w:gridCol w:w="1320"/>
        <w:gridCol w:w="720"/>
      </w:tblGrid>
      <w:tr>
        <w:tblPrEx>
          <w:tblCellMar>
            <w:top w:w="0" w:type="dxa"/>
            <w:left w:w="108" w:type="dxa"/>
            <w:bottom w:w="0" w:type="dxa"/>
            <w:right w:w="108" w:type="dxa"/>
          </w:tblCellMar>
        </w:tblPrEx>
        <w:trPr>
          <w:trHeight w:val="510" w:hRule="atLeast"/>
        </w:trPr>
        <w:tc>
          <w:tcPr>
            <w:tcW w:w="9080" w:type="dxa"/>
            <w:gridSpan w:val="7"/>
            <w:tcBorders>
              <w:top w:val="nil"/>
              <w:left w:val="nil"/>
              <w:bottom w:val="nil"/>
              <w:right w:val="nil"/>
            </w:tcBorders>
            <w:shd w:val="clear" w:color="auto" w:fill="auto"/>
            <w:noWrap/>
            <w:vAlign w:val="center"/>
          </w:tcPr>
          <w:p>
            <w:pPr>
              <w:widowControl/>
              <w:jc w:val="center"/>
              <w:rPr>
                <w:rFonts w:ascii="方正小标宋简体" w:hAnsi="宋体" w:eastAsia="方正小标宋简体" w:cs="宋体"/>
                <w:color w:val="000000"/>
                <w:kern w:val="0"/>
                <w:sz w:val="40"/>
                <w:szCs w:val="40"/>
              </w:rPr>
            </w:pPr>
            <w:r>
              <w:rPr>
                <w:rFonts w:hint="eastAsia" w:ascii="方正小标宋简体" w:hAnsi="宋体" w:eastAsia="方正小标宋简体" w:cs="宋体"/>
                <w:color w:val="000000"/>
                <w:kern w:val="0"/>
                <w:sz w:val="40"/>
                <w:szCs w:val="40"/>
              </w:rPr>
              <w:t>2022年“三公</w:t>
            </w:r>
            <w:r>
              <w:rPr>
                <w:rFonts w:hint="eastAsia" w:ascii="方正小标宋简体" w:hAnsi="宋体" w:eastAsia="方正小标宋简体" w:cs="宋体"/>
                <w:color w:val="000000"/>
                <w:kern w:val="0"/>
                <w:sz w:val="40"/>
                <w:szCs w:val="40"/>
                <w:lang w:eastAsia="zh-CN"/>
              </w:rPr>
              <w:t>”</w:t>
            </w:r>
            <w:r>
              <w:rPr>
                <w:rFonts w:hint="eastAsia" w:ascii="方正小标宋简体" w:hAnsi="宋体" w:eastAsia="方正小标宋简体" w:cs="宋体"/>
                <w:color w:val="000000"/>
                <w:kern w:val="0"/>
                <w:sz w:val="40"/>
                <w:szCs w:val="40"/>
              </w:rPr>
              <w:t>经费预算安排情况表</w:t>
            </w:r>
          </w:p>
        </w:tc>
      </w:tr>
      <w:tr>
        <w:tblPrEx>
          <w:tblCellMar>
            <w:top w:w="0" w:type="dxa"/>
            <w:left w:w="108" w:type="dxa"/>
            <w:bottom w:w="0" w:type="dxa"/>
            <w:right w:w="108" w:type="dxa"/>
          </w:tblCellMar>
        </w:tblPrEx>
        <w:trPr>
          <w:trHeight w:val="345" w:hRule="atLeast"/>
        </w:trPr>
        <w:tc>
          <w:tcPr>
            <w:tcW w:w="1660"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540"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520"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160" w:type="dxa"/>
            <w:tcBorders>
              <w:top w:val="nil"/>
              <w:left w:val="nil"/>
              <w:bottom w:val="nil"/>
              <w:right w:val="nil"/>
            </w:tcBorders>
            <w:shd w:val="clear" w:color="auto" w:fill="auto"/>
            <w:vAlign w:val="center"/>
          </w:tcPr>
          <w:p>
            <w:pPr>
              <w:widowControl/>
              <w:jc w:val="right"/>
              <w:rPr>
                <w:rFonts w:ascii="仿宋_GB2312" w:hAnsi="仿宋_GB2312" w:cs="宋体"/>
                <w:color w:val="000000"/>
                <w:kern w:val="0"/>
                <w:sz w:val="24"/>
              </w:rPr>
            </w:pPr>
          </w:p>
        </w:tc>
        <w:tc>
          <w:tcPr>
            <w:tcW w:w="1160" w:type="dxa"/>
            <w:tcBorders>
              <w:top w:val="nil"/>
              <w:left w:val="nil"/>
              <w:bottom w:val="nil"/>
              <w:right w:val="nil"/>
            </w:tcBorders>
            <w:shd w:val="clear" w:color="auto" w:fill="auto"/>
            <w:vAlign w:val="center"/>
          </w:tcPr>
          <w:p>
            <w:pPr>
              <w:widowControl/>
              <w:jc w:val="left"/>
              <w:rPr>
                <w:rFonts w:ascii="Calibri" w:hAnsi="Calibri" w:cs="宋体"/>
                <w:color w:val="000000"/>
                <w:kern w:val="0"/>
                <w:szCs w:val="21"/>
              </w:rPr>
            </w:pPr>
          </w:p>
        </w:tc>
        <w:tc>
          <w:tcPr>
            <w:tcW w:w="132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单位：万元</w:t>
            </w:r>
          </w:p>
        </w:tc>
        <w:tc>
          <w:tcPr>
            <w:tcW w:w="720" w:type="dxa"/>
            <w:tcBorders>
              <w:top w:val="nil"/>
              <w:left w:val="nil"/>
              <w:bottom w:val="nil"/>
              <w:right w:val="nil"/>
            </w:tcBorders>
            <w:shd w:val="clear" w:color="auto" w:fill="auto"/>
            <w:vAlign w:val="center"/>
          </w:tcPr>
          <w:p>
            <w:pPr>
              <w:widowControl/>
              <w:jc w:val="center"/>
              <w:rPr>
                <w:rFonts w:ascii="仿宋_GB2312" w:hAnsi="仿宋_GB2312" w:cs="宋体"/>
                <w:color w:val="000000"/>
                <w:kern w:val="0"/>
                <w:sz w:val="24"/>
              </w:rPr>
            </w:pPr>
          </w:p>
        </w:tc>
      </w:tr>
      <w:tr>
        <w:tblPrEx>
          <w:tblCellMar>
            <w:top w:w="0" w:type="dxa"/>
            <w:left w:w="108" w:type="dxa"/>
            <w:bottom w:w="0" w:type="dxa"/>
            <w:right w:w="108" w:type="dxa"/>
          </w:tblCellMar>
        </w:tblPrEx>
        <w:trPr>
          <w:trHeight w:val="600" w:hRule="atLeast"/>
        </w:trPr>
        <w:tc>
          <w:tcPr>
            <w:tcW w:w="166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w:t>
            </w:r>
          </w:p>
        </w:tc>
        <w:tc>
          <w:tcPr>
            <w:tcW w:w="1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2022年预算安排情况</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2021年预算安排情况</w:t>
            </w:r>
          </w:p>
        </w:tc>
        <w:tc>
          <w:tcPr>
            <w:tcW w:w="1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同比下降</w:t>
            </w:r>
          </w:p>
        </w:tc>
        <w:tc>
          <w:tcPr>
            <w:tcW w:w="320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资金来源</w:t>
            </w:r>
          </w:p>
        </w:tc>
      </w:tr>
      <w:tr>
        <w:tblPrEx>
          <w:tblCellMar>
            <w:top w:w="0" w:type="dxa"/>
            <w:left w:w="108" w:type="dxa"/>
            <w:bottom w:w="0" w:type="dxa"/>
            <w:right w:w="108" w:type="dxa"/>
          </w:tblCellMar>
        </w:tblPrEx>
        <w:trPr>
          <w:trHeight w:val="600" w:hRule="atLeast"/>
        </w:trPr>
        <w:tc>
          <w:tcPr>
            <w:tcW w:w="16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b/>
                <w:bCs/>
                <w:color w:val="000000"/>
                <w:kern w:val="0"/>
                <w:sz w:val="24"/>
              </w:rPr>
            </w:pPr>
          </w:p>
        </w:tc>
        <w:tc>
          <w:tcPr>
            <w:tcW w:w="1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4"/>
              </w:rPr>
            </w:pP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一般公共预算</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财政专户</w:t>
            </w:r>
          </w:p>
        </w:tc>
      </w:tr>
      <w:tr>
        <w:tblPrEx>
          <w:tblCellMar>
            <w:top w:w="0" w:type="dxa"/>
            <w:left w:w="108" w:type="dxa"/>
            <w:bottom w:w="0" w:type="dxa"/>
            <w:right w:w="108" w:type="dxa"/>
          </w:tblCellMar>
        </w:tblPrEx>
        <w:trPr>
          <w:trHeight w:val="600"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车辆运行费</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54</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86 </w:t>
            </w:r>
          </w:p>
        </w:tc>
        <w:tc>
          <w:tcPr>
            <w:tcW w:w="116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-37.21%</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54 </w:t>
            </w:r>
          </w:p>
        </w:tc>
        <w:tc>
          <w:tcPr>
            <w:tcW w:w="13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c>
          <w:tcPr>
            <w:tcW w:w="7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车辆购置费</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70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20 </w:t>
            </w:r>
          </w:p>
        </w:tc>
        <w:tc>
          <w:tcPr>
            <w:tcW w:w="116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250.00%</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70 </w:t>
            </w:r>
          </w:p>
        </w:tc>
        <w:tc>
          <w:tcPr>
            <w:tcW w:w="13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c>
          <w:tcPr>
            <w:tcW w:w="7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公务接待费</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42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42 </w:t>
            </w:r>
          </w:p>
        </w:tc>
        <w:tc>
          <w:tcPr>
            <w:tcW w:w="116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0.00%</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42 </w:t>
            </w:r>
          </w:p>
        </w:tc>
        <w:tc>
          <w:tcPr>
            <w:tcW w:w="13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c>
          <w:tcPr>
            <w:tcW w:w="7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因公出国经费</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10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30 </w:t>
            </w:r>
          </w:p>
        </w:tc>
        <w:tc>
          <w:tcPr>
            <w:tcW w:w="116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-66.67%</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xml:space="preserve">      10 </w:t>
            </w:r>
          </w:p>
        </w:tc>
        <w:tc>
          <w:tcPr>
            <w:tcW w:w="13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c>
          <w:tcPr>
            <w:tcW w:w="7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trPr>
        <w:tc>
          <w:tcPr>
            <w:tcW w:w="16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合计</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176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178 </w:t>
            </w:r>
          </w:p>
        </w:tc>
        <w:tc>
          <w:tcPr>
            <w:tcW w:w="116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-1.12%</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 xml:space="preserve">   176 </w:t>
            </w:r>
          </w:p>
        </w:tc>
        <w:tc>
          <w:tcPr>
            <w:tcW w:w="13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w:t>
            </w:r>
          </w:p>
        </w:tc>
        <w:tc>
          <w:tcPr>
            <w:tcW w:w="720" w:type="dxa"/>
            <w:tcBorders>
              <w:top w:val="nil"/>
              <w:left w:val="nil"/>
              <w:bottom w:val="single" w:color="auto" w:sz="4" w:space="0"/>
              <w:right w:val="single" w:color="auto" w:sz="4" w:space="0"/>
            </w:tcBorders>
            <w:shd w:val="clear" w:color="auto" w:fill="auto"/>
            <w:vAlign w:val="center"/>
          </w:tcPr>
          <w:p>
            <w:pPr>
              <w:widowControl/>
              <w:jc w:val="right"/>
              <w:rPr>
                <w:rFonts w:ascii="仿宋" w:hAnsi="仿宋" w:eastAsia="仿宋" w:cs="宋体"/>
                <w:b/>
                <w:bCs/>
                <w:color w:val="000000"/>
                <w:kern w:val="0"/>
                <w:sz w:val="24"/>
              </w:rPr>
            </w:pPr>
            <w:r>
              <w:rPr>
                <w:rFonts w:hint="eastAsia" w:ascii="仿宋" w:hAnsi="仿宋" w:eastAsia="仿宋" w:cs="宋体"/>
                <w:b/>
                <w:bCs/>
                <w:color w:val="000000"/>
                <w:kern w:val="0"/>
                <w:sz w:val="24"/>
              </w:rPr>
              <w:t>　</w:t>
            </w:r>
          </w:p>
        </w:tc>
      </w:tr>
    </w:tbl>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rPr>
          <w:rStyle w:val="20"/>
          <w:rFonts w:ascii="方正小标宋简体" w:hAnsi="方正小标宋简体" w:eastAsia="方正小标宋简体" w:cs="方正小标宋简体"/>
          <w:bCs w:val="0"/>
          <w:color w:val="auto"/>
          <w:kern w:val="44"/>
          <w:szCs w:val="36"/>
          <w:u w:val="none"/>
        </w:rPr>
      </w:pPr>
      <w:bookmarkStart w:id="36" w:name="_Toc91771921"/>
      <w:r>
        <w:rPr>
          <w:rStyle w:val="20"/>
          <w:rFonts w:hint="eastAsia" w:ascii="方正小标宋简体" w:hAnsi="方正小标宋简体" w:eastAsia="方正小标宋简体" w:cs="方正小标宋简体"/>
          <w:bCs w:val="0"/>
          <w:color w:val="auto"/>
          <w:kern w:val="44"/>
          <w:szCs w:val="36"/>
          <w:u w:val="none"/>
        </w:rPr>
        <w:t>§9 2022年临港开发区政府债务情况</w:t>
      </w:r>
      <w:bookmarkEnd w:id="36"/>
    </w:p>
    <w:p>
      <w:pPr>
        <w:ind w:firstLine="615"/>
        <w:rPr>
          <w:rFonts w:ascii="仿宋_GB2312" w:eastAsia="仿宋_GB2312"/>
          <w:b/>
          <w:sz w:val="30"/>
          <w:szCs w:val="30"/>
        </w:rPr>
      </w:pPr>
      <w:r>
        <w:rPr>
          <w:rFonts w:hint="eastAsia" w:ascii="仿宋_GB2312" w:eastAsia="仿宋_GB2312"/>
          <w:b/>
          <w:sz w:val="30"/>
          <w:szCs w:val="30"/>
        </w:rPr>
        <w:t>一、政府债务余额基本情况</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上年度政府一般债券发行额为0.2亿元，政府专项债务发行额为6.7亿元，2021年末政府债务限额为18.3亿元，其中：一般债务限额0.2亿元，专项债务限额18.1亿元。2021年末政府债务余额为18.3亿元，其中：一般债务余额0.2亿元，专项债务余额18.1亿元。</w:t>
      </w:r>
    </w:p>
    <w:p>
      <w:pPr>
        <w:ind w:firstLine="615"/>
        <w:rPr>
          <w:rFonts w:ascii="仿宋_GB2312" w:eastAsia="仿宋_GB2312"/>
          <w:b/>
          <w:sz w:val="30"/>
          <w:szCs w:val="30"/>
        </w:rPr>
      </w:pPr>
      <w:r>
        <w:rPr>
          <w:rFonts w:hint="eastAsia" w:ascii="仿宋_GB2312" w:eastAsia="仿宋_GB2312"/>
          <w:b/>
          <w:sz w:val="30"/>
          <w:szCs w:val="30"/>
        </w:rPr>
        <w:t>二、政府还本付息支出及发行服务费支出安排情况</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2022年我区政府债券无还本支出，安排7003万用于政府专项债券项目付息及发行服务费支出，其中：一般债券付息支出88万元，专项债券付息支出6800万元，专项债券发行服付费支出115万元。</w:t>
      </w:r>
    </w:p>
    <w:p>
      <w:pPr>
        <w:ind w:firstLine="615"/>
        <w:rPr>
          <w:rFonts w:ascii="仿宋_GB2312" w:eastAsia="仿宋_GB2312"/>
          <w:b/>
          <w:sz w:val="30"/>
          <w:szCs w:val="30"/>
        </w:rPr>
      </w:pPr>
      <w:r>
        <w:rPr>
          <w:rFonts w:hint="eastAsia" w:ascii="仿宋_GB2312" w:eastAsia="仿宋_GB2312"/>
          <w:b/>
          <w:sz w:val="30"/>
          <w:szCs w:val="30"/>
        </w:rPr>
        <w:t>三、政府隐性债务化解方案支出安排情况</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我区隐形债务于2021年已全部化解完毕，2022年不做安排。</w:t>
      </w:r>
    </w:p>
    <w:p>
      <w:pPr>
        <w:ind w:firstLine="615"/>
        <w:rPr>
          <w:rFonts w:ascii="仿宋_GB2312" w:eastAsia="仿宋_GB2312"/>
          <w:b/>
          <w:sz w:val="30"/>
          <w:szCs w:val="30"/>
        </w:rPr>
      </w:pPr>
      <w:r>
        <w:rPr>
          <w:rFonts w:hint="eastAsia" w:ascii="仿宋_GB2312" w:eastAsia="仿宋_GB2312"/>
          <w:b/>
          <w:sz w:val="30"/>
          <w:szCs w:val="30"/>
        </w:rPr>
        <w:t>四、其他情况说明</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临港开发区将严格落实中央、省、市各级对政府债务的相关规定，实行稳健的财政政策，严守正负面清单，不搞脱离财力可能的项目建设，确保政府隐性债务增量为零。</w:t>
      </w:r>
    </w:p>
    <w:p>
      <w:pPr>
        <w:spacing w:line="600" w:lineRule="exact"/>
        <w:ind w:firstLine="600" w:firstLineChars="200"/>
        <w:rPr>
          <w:rFonts w:ascii="仿宋_GB2312" w:eastAsia="仿宋_GB2312"/>
          <w:color w:val="000000" w:themeColor="text1"/>
          <w:sz w:val="30"/>
          <w:szCs w:val="30"/>
        </w:rPr>
      </w:pPr>
    </w:p>
    <w:p>
      <w:pPr>
        <w:spacing w:line="600" w:lineRule="exact"/>
        <w:ind w:firstLine="600" w:firstLineChars="200"/>
        <w:rPr>
          <w:rFonts w:ascii="仿宋_GB2312" w:eastAsia="仿宋_GB2312"/>
          <w:color w:val="000000" w:themeColor="text1"/>
          <w:sz w:val="30"/>
          <w:szCs w:val="30"/>
        </w:rPr>
      </w:pPr>
    </w:p>
    <w:p>
      <w:pPr>
        <w:spacing w:line="600" w:lineRule="exact"/>
        <w:ind w:firstLine="600" w:firstLineChars="200"/>
        <w:rPr>
          <w:rFonts w:ascii="仿宋_GB2312" w:eastAsia="仿宋_GB2312"/>
          <w:color w:val="000000" w:themeColor="text1"/>
          <w:sz w:val="30"/>
          <w:szCs w:val="30"/>
        </w:rPr>
      </w:pPr>
    </w:p>
    <w:tbl>
      <w:tblPr>
        <w:tblStyle w:val="15"/>
        <w:tblW w:w="9180" w:type="dxa"/>
        <w:tblInd w:w="93" w:type="dxa"/>
        <w:tblLayout w:type="autofit"/>
        <w:tblCellMar>
          <w:top w:w="0" w:type="dxa"/>
          <w:left w:w="108" w:type="dxa"/>
          <w:bottom w:w="0" w:type="dxa"/>
          <w:right w:w="108" w:type="dxa"/>
        </w:tblCellMar>
      </w:tblPr>
      <w:tblGrid>
        <w:gridCol w:w="4620"/>
        <w:gridCol w:w="1520"/>
        <w:gridCol w:w="1520"/>
        <w:gridCol w:w="1520"/>
      </w:tblGrid>
      <w:tr>
        <w:tblPrEx>
          <w:tblCellMar>
            <w:top w:w="0" w:type="dxa"/>
            <w:left w:w="108" w:type="dxa"/>
            <w:bottom w:w="0" w:type="dxa"/>
            <w:right w:w="108" w:type="dxa"/>
          </w:tblCellMar>
        </w:tblPrEx>
        <w:trPr>
          <w:trHeight w:val="720" w:hRule="atLeast"/>
        </w:trPr>
        <w:tc>
          <w:tcPr>
            <w:tcW w:w="9180" w:type="dxa"/>
            <w:gridSpan w:val="4"/>
            <w:tcBorders>
              <w:top w:val="nil"/>
              <w:left w:val="nil"/>
              <w:bottom w:val="nil"/>
              <w:right w:val="nil"/>
            </w:tcBorders>
            <w:shd w:val="clear" w:color="auto" w:fill="auto"/>
            <w:noWrap/>
            <w:vAlign w:val="center"/>
          </w:tcPr>
          <w:p>
            <w:pPr>
              <w:widowControl/>
              <w:jc w:val="center"/>
              <w:rPr>
                <w:rFonts w:ascii="方正小标宋简体" w:hAnsi="宋体" w:eastAsia="方正小标宋简体" w:cs="宋体"/>
                <w:color w:val="000000"/>
                <w:kern w:val="0"/>
                <w:sz w:val="40"/>
                <w:szCs w:val="40"/>
              </w:rPr>
            </w:pPr>
            <w:r>
              <w:rPr>
                <w:rFonts w:hint="eastAsia" w:ascii="方正小标宋简体" w:hAnsi="宋体" w:eastAsia="方正小标宋简体" w:cs="宋体"/>
                <w:color w:val="000000"/>
                <w:kern w:val="0"/>
                <w:sz w:val="40"/>
                <w:szCs w:val="40"/>
              </w:rPr>
              <w:t>2022年沧州渤海新区偿还政府债务预算情况表</w:t>
            </w:r>
          </w:p>
        </w:tc>
      </w:tr>
      <w:tr>
        <w:tblPrEx>
          <w:tblCellMar>
            <w:top w:w="0" w:type="dxa"/>
            <w:left w:w="108" w:type="dxa"/>
            <w:bottom w:w="0" w:type="dxa"/>
            <w:right w:w="108" w:type="dxa"/>
          </w:tblCellMar>
        </w:tblPrEx>
        <w:trPr>
          <w:trHeight w:val="465" w:hRule="atLeast"/>
        </w:trPr>
        <w:tc>
          <w:tcPr>
            <w:tcW w:w="4620" w:type="dxa"/>
            <w:tcBorders>
              <w:top w:val="nil"/>
              <w:left w:val="nil"/>
              <w:bottom w:val="nil"/>
              <w:right w:val="nil"/>
            </w:tcBorders>
            <w:shd w:val="clear" w:color="auto" w:fill="auto"/>
            <w:noWrap/>
            <w:vAlign w:val="center"/>
          </w:tcPr>
          <w:p>
            <w:pPr>
              <w:widowControl/>
              <w:jc w:val="right"/>
              <w:rPr>
                <w:rFonts w:ascii="宋体" w:hAnsi="宋体" w:cs="宋体"/>
                <w:color w:val="000000"/>
                <w:kern w:val="0"/>
                <w:sz w:val="24"/>
              </w:rPr>
            </w:pPr>
          </w:p>
        </w:tc>
        <w:tc>
          <w:tcPr>
            <w:tcW w:w="152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52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520" w:type="dxa"/>
            <w:tcBorders>
              <w:top w:val="nil"/>
              <w:left w:val="nil"/>
              <w:bottom w:val="nil"/>
              <w:right w:val="nil"/>
            </w:tcBorders>
            <w:shd w:val="clear" w:color="auto" w:fill="auto"/>
            <w:noWrap/>
            <w:vAlign w:val="center"/>
          </w:tcPr>
          <w:p>
            <w:pPr>
              <w:widowControl/>
              <w:jc w:val="right"/>
              <w:rPr>
                <w:rFonts w:ascii="宋体" w:hAnsi="宋体" w:cs="宋体"/>
                <w:color w:val="000000"/>
                <w:kern w:val="0"/>
                <w:sz w:val="24"/>
              </w:rPr>
            </w:pPr>
            <w:r>
              <w:rPr>
                <w:rFonts w:hint="eastAsia" w:ascii="宋体" w:hAnsi="宋体" w:cs="宋体"/>
                <w:color w:val="000000"/>
                <w:kern w:val="0"/>
                <w:sz w:val="24"/>
              </w:rPr>
              <w:t>单位：万元</w:t>
            </w:r>
          </w:p>
        </w:tc>
      </w:tr>
      <w:tr>
        <w:tblPrEx>
          <w:tblCellMar>
            <w:top w:w="0" w:type="dxa"/>
            <w:left w:w="108" w:type="dxa"/>
            <w:bottom w:w="0" w:type="dxa"/>
            <w:right w:w="108" w:type="dxa"/>
          </w:tblCellMar>
        </w:tblPrEx>
        <w:trPr>
          <w:trHeight w:val="600" w:hRule="atLeast"/>
        </w:trPr>
        <w:tc>
          <w:tcPr>
            <w:tcW w:w="4620" w:type="dxa"/>
            <w:vMerge w:val="restart"/>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债务项目</w:t>
            </w:r>
          </w:p>
        </w:tc>
        <w:tc>
          <w:tcPr>
            <w:tcW w:w="3040"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偿债来源</w:t>
            </w:r>
          </w:p>
        </w:tc>
        <w:tc>
          <w:tcPr>
            <w:tcW w:w="1520" w:type="dxa"/>
            <w:vMerge w:val="restart"/>
            <w:tcBorders>
              <w:top w:val="single" w:color="auto" w:sz="8" w:space="0"/>
              <w:left w:val="single" w:color="auto" w:sz="4" w:space="0"/>
              <w:bottom w:val="single" w:color="auto" w:sz="4" w:space="0"/>
              <w:right w:val="single" w:color="auto" w:sz="8"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r>
      <w:tr>
        <w:trPr>
          <w:trHeight w:val="600" w:hRule="atLeast"/>
        </w:trPr>
        <w:tc>
          <w:tcPr>
            <w:tcW w:w="4620"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一般预算</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政府基金</w:t>
            </w:r>
          </w:p>
        </w:tc>
        <w:tc>
          <w:tcPr>
            <w:tcW w:w="1520" w:type="dxa"/>
            <w:vMerge w:val="continue"/>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cs="宋体"/>
                <w:b/>
                <w:bCs/>
                <w:color w:val="000000"/>
                <w:kern w:val="0"/>
                <w:sz w:val="24"/>
              </w:rPr>
            </w:pPr>
          </w:p>
        </w:tc>
      </w:tr>
      <w:tr>
        <w:tblPrEx>
          <w:tblCellMar>
            <w:top w:w="0" w:type="dxa"/>
            <w:left w:w="108" w:type="dxa"/>
            <w:bottom w:w="0" w:type="dxa"/>
            <w:right w:w="108" w:type="dxa"/>
          </w:tblCellMar>
        </w:tblPrEx>
        <w:trPr>
          <w:trHeight w:val="600" w:hRule="atLeast"/>
        </w:trPr>
        <w:tc>
          <w:tcPr>
            <w:tcW w:w="4620"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一般本息</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专项本息</w:t>
            </w:r>
          </w:p>
        </w:tc>
        <w:tc>
          <w:tcPr>
            <w:tcW w:w="1520" w:type="dxa"/>
            <w:vMerge w:val="continue"/>
            <w:tcBorders>
              <w:top w:val="single" w:color="auto" w:sz="8" w:space="0"/>
              <w:left w:val="single" w:color="auto" w:sz="4" w:space="0"/>
              <w:bottom w:val="single" w:color="auto" w:sz="4" w:space="0"/>
              <w:right w:val="single" w:color="auto" w:sz="8" w:space="0"/>
            </w:tcBorders>
            <w:vAlign w:val="center"/>
          </w:tcPr>
          <w:p>
            <w:pPr>
              <w:widowControl/>
              <w:jc w:val="left"/>
              <w:rPr>
                <w:rFonts w:ascii="宋体" w:hAnsi="宋体" w:cs="宋体"/>
                <w:b/>
                <w:bCs/>
                <w:color w:val="000000"/>
                <w:kern w:val="0"/>
                <w:sz w:val="24"/>
              </w:rPr>
            </w:pPr>
          </w:p>
        </w:tc>
      </w:tr>
      <w:tr>
        <w:tblPrEx>
          <w:tblCellMar>
            <w:top w:w="0" w:type="dxa"/>
            <w:left w:w="108" w:type="dxa"/>
            <w:bottom w:w="0" w:type="dxa"/>
            <w:right w:w="108" w:type="dxa"/>
          </w:tblCellMar>
        </w:tblPrEx>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202</w:t>
            </w:r>
            <w:r>
              <w:rPr>
                <w:rFonts w:hint="eastAsia" w:ascii="仿宋_GB2312" w:hAnsi="仿宋_GB2312" w:cs="宋体"/>
                <w:color w:val="000000"/>
                <w:kern w:val="0"/>
                <w:sz w:val="24"/>
              </w:rPr>
              <w:t>2</w:t>
            </w:r>
            <w:r>
              <w:rPr>
                <w:rFonts w:ascii="仿宋_GB2312" w:hAnsi="仿宋_GB2312" w:cs="宋体"/>
                <w:color w:val="000000"/>
                <w:kern w:val="0"/>
                <w:sz w:val="24"/>
              </w:rPr>
              <w:t>年到期债券偿还本金</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2022年度偿还2015、2016、2017、2018、2019、2020、2021年新增债券利息</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88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6,800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6,888 </w:t>
            </w:r>
          </w:p>
        </w:tc>
      </w:tr>
      <w:tr>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2022年发行费、兑付及利息服务费</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115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115 </w:t>
            </w:r>
          </w:p>
        </w:tc>
      </w:tr>
      <w:tr>
        <w:tblPrEx>
          <w:tblCellMar>
            <w:top w:w="0" w:type="dxa"/>
            <w:left w:w="108" w:type="dxa"/>
            <w:bottom w:w="0" w:type="dxa"/>
            <w:right w:w="108" w:type="dxa"/>
          </w:tblCellMar>
        </w:tblPrEx>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国债转贷本金</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国债转贷利息</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blPrEx>
          <w:tblCellMar>
            <w:top w:w="0" w:type="dxa"/>
            <w:left w:w="108" w:type="dxa"/>
            <w:bottom w:w="0" w:type="dxa"/>
            <w:right w:w="108" w:type="dxa"/>
          </w:tblCellMar>
        </w:tblPrEx>
        <w:trPr>
          <w:trHeight w:val="600" w:hRule="atLeast"/>
        </w:trPr>
        <w:tc>
          <w:tcPr>
            <w:tcW w:w="46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政府隐性债务化债资金</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w:t>
            </w:r>
          </w:p>
        </w:tc>
        <w:tc>
          <w:tcPr>
            <w:tcW w:w="15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 </w:t>
            </w:r>
          </w:p>
        </w:tc>
      </w:tr>
      <w:tr>
        <w:trPr>
          <w:trHeight w:val="600" w:hRule="atLeast"/>
        </w:trPr>
        <w:tc>
          <w:tcPr>
            <w:tcW w:w="46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合  计</w:t>
            </w:r>
          </w:p>
        </w:tc>
        <w:tc>
          <w:tcPr>
            <w:tcW w:w="1520" w:type="dxa"/>
            <w:tcBorders>
              <w:top w:val="nil"/>
              <w:left w:val="nil"/>
              <w:bottom w:val="single" w:color="auto" w:sz="8" w:space="0"/>
              <w:right w:val="single" w:color="auto" w:sz="4" w:space="0"/>
            </w:tcBorders>
            <w:shd w:val="clear" w:color="auto" w:fill="auto"/>
            <w:vAlign w:val="center"/>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88 </w:t>
            </w:r>
          </w:p>
        </w:tc>
        <w:tc>
          <w:tcPr>
            <w:tcW w:w="1520" w:type="dxa"/>
            <w:tcBorders>
              <w:top w:val="nil"/>
              <w:left w:val="nil"/>
              <w:bottom w:val="single" w:color="auto" w:sz="8" w:space="0"/>
              <w:right w:val="single" w:color="auto" w:sz="4" w:space="0"/>
            </w:tcBorders>
            <w:shd w:val="clear" w:color="auto" w:fill="auto"/>
            <w:vAlign w:val="center"/>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6,915 </w:t>
            </w:r>
          </w:p>
        </w:tc>
        <w:tc>
          <w:tcPr>
            <w:tcW w:w="1520" w:type="dxa"/>
            <w:tcBorders>
              <w:top w:val="nil"/>
              <w:left w:val="nil"/>
              <w:bottom w:val="single" w:color="auto" w:sz="8" w:space="0"/>
              <w:right w:val="single" w:color="auto" w:sz="4" w:space="0"/>
            </w:tcBorders>
            <w:shd w:val="clear" w:color="auto" w:fill="auto"/>
            <w:vAlign w:val="center"/>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7,003 </w:t>
            </w:r>
          </w:p>
        </w:tc>
      </w:tr>
    </w:tbl>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3"/>
        <w:rPr>
          <w:rFonts w:ascii="仿宋_GB2312" w:eastAsia="仿宋_GB2312"/>
          <w:color w:val="000000" w:themeColor="text1"/>
        </w:rPr>
      </w:pPr>
      <w:bookmarkStart w:id="37" w:name="_Toc500947600"/>
      <w:bookmarkStart w:id="38" w:name="_Toc64555280"/>
    </w:p>
    <w:p>
      <w:pPr>
        <w:pStyle w:val="3"/>
        <w:rPr>
          <w:rStyle w:val="20"/>
          <w:rFonts w:ascii="方正小标宋简体" w:hAnsi="方正小标宋简体" w:eastAsia="方正小标宋简体" w:cs="方正小标宋简体"/>
          <w:bCs w:val="0"/>
          <w:color w:val="auto"/>
          <w:kern w:val="44"/>
          <w:szCs w:val="36"/>
          <w:u w:val="none"/>
        </w:rPr>
      </w:pPr>
    </w:p>
    <w:p>
      <w:pPr>
        <w:pStyle w:val="3"/>
        <w:rPr>
          <w:rStyle w:val="20"/>
          <w:rFonts w:ascii="方正小标宋简体" w:hAnsi="方正小标宋简体" w:eastAsia="方正小标宋简体" w:cs="方正小标宋简体"/>
          <w:bCs w:val="0"/>
          <w:color w:val="auto"/>
          <w:kern w:val="44"/>
          <w:szCs w:val="36"/>
          <w:u w:val="none"/>
        </w:rPr>
      </w:pPr>
    </w:p>
    <w:p/>
    <w:p>
      <w:pPr>
        <w:pStyle w:val="3"/>
        <w:rPr>
          <w:rFonts w:ascii="方正小标宋简体" w:hAnsi="方正小标宋简体" w:eastAsia="方正小标宋简体" w:cs="方正小标宋简体"/>
          <w:bCs w:val="0"/>
          <w:kern w:val="44"/>
          <w:szCs w:val="36"/>
        </w:rPr>
      </w:pPr>
      <w:bookmarkStart w:id="39" w:name="_Toc91771922"/>
      <w:r>
        <w:rPr>
          <w:rStyle w:val="20"/>
          <w:rFonts w:hint="eastAsia" w:ascii="方正小标宋简体" w:hAnsi="方正小标宋简体" w:eastAsia="方正小标宋简体" w:cs="方正小标宋简体"/>
          <w:bCs w:val="0"/>
          <w:color w:val="auto"/>
          <w:kern w:val="44"/>
          <w:szCs w:val="36"/>
          <w:u w:val="none"/>
        </w:rPr>
        <w:t>§10  2021年预算绩效管理情况</w:t>
      </w:r>
      <w:bookmarkEnd w:id="39"/>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2021年是临港开发区实施预算绩效管理的关键一年。根据省厅2021年预算绩效管理工作要点和沧州市全面实施预算绩效管理推进工作方案，2021年临港开发区重点推动绩效管理与预算管理深度融合，以实现预算和绩效管理一体化为目标，将绩效目标与年度预算一同编制、绩效目标信息与预算信息一同公开、绩效评价与决算编制一同布置、评价结果信息与决算信息一同公开，以落实四个同步为抓手，推动预算绩效管理扩围升级增效。</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一是抓制度贯彻落实。</w:t>
      </w:r>
      <w:r>
        <w:rPr>
          <w:rFonts w:hint="eastAsia" w:ascii="仿宋_GB2312" w:eastAsia="仿宋_GB2312"/>
          <w:color w:val="000000" w:themeColor="text1"/>
          <w:sz w:val="30"/>
          <w:szCs w:val="30"/>
        </w:rPr>
        <w:t>2021年开发区通过贯彻落实新区各项管理制度，强化预算单位自我管理，引导部门建立和完善预算管理机制，推动建立责任预算。今年以来，我区严格落实《沧州渤海新区区直部门事前绩效评估规范》、《沧州渤海新区区直部门预算绩效运行监控办法》、《沧州渤海新区区直部门预算项目绩效自评管理办法》，在预算绩效管理方法和工作流程方面做到从繁到简，统一规范。</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二是抓工作落实。</w:t>
      </w:r>
      <w:r>
        <w:rPr>
          <w:rFonts w:hint="eastAsia" w:ascii="仿宋_GB2312" w:eastAsia="仿宋_GB2312"/>
          <w:color w:val="000000" w:themeColor="text1"/>
          <w:sz w:val="30"/>
          <w:szCs w:val="30"/>
        </w:rPr>
        <w:t>2021年临港开发区推进全面预算绩效管理实现“四个全覆盖”，即覆盖四本预算、覆盖所有预算部门和单位、覆盖所有财政收支政策、覆盖所有财政性资金。所有部门编制预算绩效文本、所有预算单位进行绩效自评、所有预算绩效目标必须“指向明确、细化量化、合理可行、相应匹配”。</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三是着力补短板。</w:t>
      </w:r>
      <w:r>
        <w:rPr>
          <w:rFonts w:hint="eastAsia" w:ascii="仿宋_GB2312" w:eastAsia="仿宋_GB2312"/>
          <w:color w:val="000000" w:themeColor="text1"/>
          <w:sz w:val="30"/>
          <w:szCs w:val="30"/>
        </w:rPr>
        <w:t>县级部门和单位能力不足，是当前预算绩效管理改革过程中面临的突出问题。为解决好预算绩效管理的工作效率问题，开发区财政部门多次组织培训，快速普及预算绩效管理活动，在深入分析制约高效使用资金的原因并就改进措施与部门达成共识的基础上，为项目评价、政策评价、部门评价编制行为指引和绩效评价标准模板，大幅降低预算绩效管理的技术门槛和工作量。</w:t>
      </w:r>
    </w:p>
    <w:p>
      <w:pPr>
        <w:rPr>
          <w:rFonts w:ascii="仿宋_GB2312" w:eastAsia="仿宋_GB2312"/>
          <w:sz w:val="26"/>
          <w:szCs w:val="26"/>
        </w:rPr>
      </w:pPr>
    </w:p>
    <w:p>
      <w:pPr>
        <w:pStyle w:val="3"/>
        <w:rPr>
          <w:rFonts w:ascii="仿宋_GB2312" w:eastAsia="仿宋_GB2312"/>
          <w:color w:val="000000" w:themeColor="text1"/>
        </w:rPr>
      </w:pPr>
    </w:p>
    <w:p/>
    <w:p>
      <w:pPr>
        <w:pStyle w:val="3"/>
        <w:jc w:val="center"/>
        <w:rPr>
          <w:rFonts w:ascii="仿宋_GB2312" w:eastAsia="仿宋_GB2312"/>
          <w:color w:val="000000" w:themeColor="text1"/>
        </w:rPr>
      </w:pPr>
    </w:p>
    <w:p/>
    <w:p/>
    <w:p/>
    <w:p/>
    <w:p/>
    <w:p/>
    <w:p/>
    <w:p/>
    <w:p/>
    <w:p/>
    <w:p/>
    <w:p/>
    <w:p/>
    <w:p/>
    <w:p/>
    <w:p/>
    <w:p/>
    <w:p/>
    <w:p/>
    <w:p/>
    <w:p/>
    <w:p/>
    <w:p/>
    <w:p/>
    <w:p/>
    <w:p/>
    <w:p/>
    <w:p/>
    <w:p/>
    <w:p/>
    <w:p/>
    <w:p/>
    <w:p/>
    <w:p/>
    <w:p/>
    <w:p/>
    <w:p/>
    <w:p/>
    <w:p/>
    <w:p/>
    <w:p/>
    <w:p/>
    <w:p/>
    <w:p/>
    <w:p/>
    <w:p/>
    <w:p/>
    <w:p/>
    <w:p/>
    <w:p/>
    <w:p/>
    <w:p/>
    <w:p/>
    <w:p/>
    <w:p>
      <w:pPr>
        <w:pStyle w:val="2"/>
        <w:jc w:val="both"/>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bookmarkStart w:id="40" w:name="_Toc91771923"/>
      <w:r>
        <w:rPr>
          <w:rStyle w:val="20"/>
          <w:rFonts w:hint="eastAsia" w:ascii="方正小标宋简体" w:hAnsi="方正小标宋简体" w:eastAsia="方正小标宋简体" w:cs="方正小标宋简体"/>
          <w:bCs w:val="0"/>
          <w:color w:val="auto"/>
          <w:szCs w:val="52"/>
          <w:u w:val="none"/>
        </w:rPr>
        <w:t>第三部分</w:t>
      </w:r>
      <w:bookmarkEnd w:id="40"/>
      <w:r>
        <w:rPr>
          <w:rStyle w:val="20"/>
          <w:rFonts w:ascii="方正小标宋简体" w:hAnsi="方正小标宋简体" w:eastAsia="方正小标宋简体" w:cs="方正小标宋简体"/>
          <w:bCs w:val="0"/>
          <w:color w:val="auto"/>
          <w:szCs w:val="52"/>
          <w:u w:val="none"/>
        </w:rPr>
        <w:t xml:space="preserve">  </w:t>
      </w:r>
    </w:p>
    <w:p>
      <w:pPr>
        <w:pStyle w:val="2"/>
        <w:rPr>
          <w:rStyle w:val="20"/>
          <w:rFonts w:ascii="方正小标宋简体" w:hAnsi="方正小标宋简体" w:eastAsia="方正小标宋简体" w:cs="方正小标宋简体"/>
          <w:bCs w:val="0"/>
          <w:color w:val="auto"/>
          <w:szCs w:val="52"/>
          <w:u w:val="none"/>
        </w:rPr>
      </w:pPr>
      <w:bookmarkStart w:id="41" w:name="_Toc91771924"/>
      <w:bookmarkStart w:id="42" w:name="_Toc91439469"/>
      <w:bookmarkStart w:id="43" w:name="_Toc91510391"/>
      <w:r>
        <w:rPr>
          <w:rStyle w:val="20"/>
          <w:rFonts w:hint="eastAsia" w:ascii="方正小标宋简体" w:hAnsi="方正小标宋简体" w:eastAsia="方正小标宋简体" w:cs="方正小标宋简体"/>
          <w:bCs w:val="0"/>
          <w:color w:val="auto"/>
          <w:szCs w:val="52"/>
          <w:u w:val="none"/>
        </w:rPr>
        <w:t>2022年沧州临港经济技术开发区</w:t>
      </w:r>
      <w:bookmarkEnd w:id="41"/>
      <w:bookmarkEnd w:id="42"/>
      <w:bookmarkEnd w:id="43"/>
    </w:p>
    <w:p>
      <w:pPr>
        <w:pStyle w:val="2"/>
        <w:rPr>
          <w:rStyle w:val="20"/>
          <w:rFonts w:ascii="方正小标宋简体" w:hAnsi="方正小标宋简体" w:eastAsia="方正小标宋简体" w:cs="方正小标宋简体"/>
          <w:bCs w:val="0"/>
          <w:color w:val="auto"/>
          <w:szCs w:val="52"/>
          <w:u w:val="none"/>
        </w:rPr>
      </w:pPr>
      <w:bookmarkStart w:id="44" w:name="_Toc91771925"/>
      <w:bookmarkStart w:id="45" w:name="_Toc91510392"/>
      <w:bookmarkStart w:id="46" w:name="_Toc91439470"/>
      <w:r>
        <w:rPr>
          <w:rStyle w:val="20"/>
          <w:rFonts w:hint="eastAsia" w:ascii="方正小标宋简体" w:hAnsi="方正小标宋简体" w:eastAsia="方正小标宋简体" w:cs="方正小标宋简体"/>
          <w:bCs w:val="0"/>
          <w:color w:val="auto"/>
          <w:szCs w:val="52"/>
          <w:u w:val="none"/>
        </w:rPr>
        <w:t>政府性基金预算（草案）</w:t>
      </w:r>
      <w:bookmarkEnd w:id="37"/>
      <w:bookmarkEnd w:id="38"/>
      <w:bookmarkEnd w:id="44"/>
      <w:bookmarkEnd w:id="45"/>
      <w:bookmarkEnd w:id="46"/>
    </w:p>
    <w:p>
      <w:pPr>
        <w:pStyle w:val="4"/>
        <w:jc w:val="center"/>
        <w:rPr>
          <w:rFonts w:ascii="仿宋_GB2312" w:eastAsia="仿宋_GB2312"/>
          <w:color w:val="000000" w:themeColor="text1"/>
        </w:rPr>
      </w:pPr>
      <w:bookmarkStart w:id="47" w:name="_Toc500947601"/>
      <w:bookmarkStart w:id="48" w:name="_Toc64555281"/>
    </w:p>
    <w:p>
      <w:pPr>
        <w:pStyle w:val="4"/>
        <w:jc w:val="center"/>
        <w:rPr>
          <w:rFonts w:ascii="仿宋_GB2312" w:eastAsia="仿宋_GB2312"/>
          <w:color w:val="000000" w:themeColor="text1"/>
        </w:rPr>
      </w:pPr>
    </w:p>
    <w:p/>
    <w:p/>
    <w:p/>
    <w:p/>
    <w:p/>
    <w:p>
      <w:pPr>
        <w:pStyle w:val="3"/>
        <w:rPr>
          <w:rStyle w:val="20"/>
          <w:rFonts w:ascii="方正小标宋简体" w:hAnsi="方正小标宋简体" w:eastAsia="方正小标宋简体" w:cs="方正小标宋简体"/>
          <w:bCs w:val="0"/>
          <w:color w:val="auto"/>
          <w:kern w:val="44"/>
          <w:szCs w:val="36"/>
          <w:u w:val="none"/>
        </w:rPr>
      </w:pPr>
      <w:bookmarkStart w:id="49" w:name="_Toc91771926"/>
      <w:r>
        <w:rPr>
          <w:rStyle w:val="20"/>
          <w:rFonts w:hint="eastAsia" w:ascii="方正小标宋简体" w:hAnsi="方正小标宋简体" w:eastAsia="方正小标宋简体" w:cs="方正小标宋简体"/>
          <w:bCs w:val="0"/>
          <w:color w:val="auto"/>
          <w:kern w:val="44"/>
          <w:szCs w:val="36"/>
          <w:u w:val="none"/>
        </w:rPr>
        <w:t>§</w:t>
      </w:r>
      <w:r>
        <w:rPr>
          <w:rStyle w:val="20"/>
          <w:rFonts w:ascii="方正小标宋简体" w:hAnsi="方正小标宋简体" w:eastAsia="方正小标宋简体" w:cs="方正小标宋简体"/>
          <w:bCs w:val="0"/>
          <w:color w:val="auto"/>
          <w:kern w:val="44"/>
          <w:szCs w:val="36"/>
          <w:u w:val="none"/>
        </w:rPr>
        <w:t xml:space="preserve">1  </w:t>
      </w:r>
      <w:r>
        <w:rPr>
          <w:rStyle w:val="20"/>
          <w:rFonts w:hint="eastAsia" w:ascii="方正小标宋简体" w:hAnsi="方正小标宋简体" w:eastAsia="方正小标宋简体" w:cs="方正小标宋简体"/>
          <w:bCs w:val="0"/>
          <w:color w:val="auto"/>
          <w:kern w:val="44"/>
          <w:szCs w:val="36"/>
          <w:u w:val="none"/>
        </w:rPr>
        <w:t>2022年政府性基金预算收支安排</w:t>
      </w:r>
      <w:bookmarkEnd w:id="47"/>
      <w:bookmarkEnd w:id="48"/>
      <w:bookmarkEnd w:id="49"/>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政府性基金预算是对依照法律、行政法规的规定在一定期限内向特定对象征收、收取或者以其他方式筹集的资金，专项用于特定公共事业发展的收支预算。</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一、预算编制的基本原则</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（一）科学完整、规范管理原则。</w:t>
      </w:r>
      <w:r>
        <w:rPr>
          <w:rFonts w:hint="eastAsia" w:ascii="仿宋_GB2312" w:eastAsia="仿宋_GB2312"/>
          <w:color w:val="000000" w:themeColor="text1"/>
          <w:sz w:val="30"/>
          <w:szCs w:val="30"/>
        </w:rPr>
        <w:t>按照政府性基金管理的法律、法规和制度要求，科学全面完整地反映各项政府性基金收入，按照规定支出范围合理安排相应的支出事项，做到预算编制不重复、不遗漏，提高预算编制的完整性。</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（二）以收定支、收支平衡原则。</w:t>
      </w:r>
      <w:r>
        <w:rPr>
          <w:rFonts w:hint="eastAsia" w:ascii="仿宋_GB2312" w:eastAsia="仿宋_GB2312"/>
          <w:color w:val="000000" w:themeColor="text1"/>
          <w:sz w:val="30"/>
          <w:szCs w:val="30"/>
        </w:rPr>
        <w:t>政府性基金预算应当根据基金项目收入情况和实际支出需要，按基金项目编制，做到以收定支。</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（三）严格标准、专款专用原则。</w:t>
      </w:r>
      <w:r>
        <w:rPr>
          <w:rFonts w:hint="eastAsia" w:ascii="仿宋_GB2312" w:eastAsia="仿宋_GB2312"/>
          <w:color w:val="000000" w:themeColor="text1"/>
          <w:sz w:val="30"/>
          <w:szCs w:val="30"/>
        </w:rPr>
        <w:t>政府性基金是经过法定程序批准征收的具有专门用途的财政资金，在编制政府性基金预算时，严格遵循规定的用途、支出范围和支出标准，做到专款专用。</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（四）统筹使用、强化绩效原则。</w:t>
      </w:r>
      <w:r>
        <w:rPr>
          <w:rFonts w:hint="eastAsia" w:ascii="仿宋_GB2312" w:eastAsia="仿宋_GB2312"/>
          <w:color w:val="000000" w:themeColor="text1"/>
          <w:sz w:val="30"/>
          <w:szCs w:val="30"/>
        </w:rPr>
        <w:t>做好与一般公共预算的有效衔接，统筹资金，整合项目，发挥资金整体效益。对项目资金使用情况实行绩效评价，逐步实现绩效考评结果与项目支出预算安排的有机结合，不断提高资金使用效益。</w:t>
      </w:r>
    </w:p>
    <w:p>
      <w:pPr>
        <w:ind w:firstLine="602" w:firstLineChars="200"/>
        <w:rPr>
          <w:rFonts w:ascii="仿宋_GB2312" w:eastAsia="仿宋_GB2312"/>
          <w:b/>
          <w:color w:val="000000" w:themeColor="text1"/>
          <w:sz w:val="30"/>
          <w:szCs w:val="30"/>
        </w:rPr>
      </w:pPr>
      <w:r>
        <w:rPr>
          <w:rFonts w:hint="eastAsia" w:ascii="仿宋_GB2312" w:eastAsia="仿宋_GB2312"/>
          <w:b/>
          <w:color w:val="000000" w:themeColor="text1"/>
          <w:sz w:val="30"/>
          <w:szCs w:val="30"/>
        </w:rPr>
        <w:t>二、政府性基金收支预算</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2022年临港开发区政府性基金预算总收入59070万元，其中：本级收入52570万元，上年结转结余收入6500万元。根据收支平衡原则，2022年政府性基金预算总支出59070万元。其中：本级支出55810万元，调出资金3260万元。具体如下：</w:t>
      </w:r>
    </w:p>
    <w:p>
      <w:pPr>
        <w:spacing w:line="600" w:lineRule="exact"/>
        <w:ind w:firstLine="602" w:firstLineChars="200"/>
        <w:rPr>
          <w:rFonts w:ascii="仿宋_GB2312" w:eastAsia="仿宋_GB2312"/>
          <w:color w:val="000000" w:themeColor="text1"/>
          <w:sz w:val="30"/>
          <w:szCs w:val="30"/>
        </w:rPr>
      </w:pPr>
      <w:bookmarkStart w:id="50" w:name="_Toc500947602"/>
      <w:r>
        <w:rPr>
          <w:rFonts w:hint="eastAsia" w:ascii="仿宋_GB2312" w:eastAsia="仿宋_GB2312"/>
          <w:b/>
          <w:color w:val="000000" w:themeColor="text1"/>
          <w:sz w:val="30"/>
          <w:szCs w:val="30"/>
        </w:rPr>
        <w:t>（一）土地出让金。</w:t>
      </w:r>
      <w:r>
        <w:rPr>
          <w:rFonts w:hint="eastAsia" w:ascii="仿宋_GB2312" w:eastAsia="仿宋_GB2312"/>
          <w:color w:val="000000" w:themeColor="text1"/>
          <w:sz w:val="30"/>
          <w:szCs w:val="30"/>
        </w:rPr>
        <w:t>土地出让金收入完成47840万元。其中国有土地使用权收入43760万元、国有土地收益基金收入3000万元、农业土地开发收入1080万元。上年结转结余6375万元，调出资金3260万元,。主要项目如下：</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（1）用地补偿、放水补偿30000万元；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（2）专项债券付息支出6800万元；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（3）购买补充耕地指标6000万元；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（4）开发区道路、通信、雨水、绿化等工程项目2860万元；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（5）土地及资产出让相关支出1800万元；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（6）化工一路消防站项目1600万元；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（7）危化管理项目支出700万元；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（8）应急医疗救援服务中心项目480万元；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（9）市政基础设施维修维护管理费300万元；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（10）东西区隐患治理、西区泵站改造300万元；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（11）专项债券发行费用支出115万元。</w:t>
      </w:r>
    </w:p>
    <w:p>
      <w:pPr>
        <w:spacing w:line="600" w:lineRule="exact"/>
        <w:ind w:firstLine="602" w:firstLineChars="200"/>
        <w:rPr>
          <w:rFonts w:ascii="仿宋_GB2312" w:eastAsia="仿宋_GB2312"/>
          <w:color w:val="000000" w:themeColor="text1"/>
          <w:sz w:val="30"/>
          <w:szCs w:val="30"/>
        </w:rPr>
      </w:pPr>
      <w:r>
        <w:rPr>
          <w:rFonts w:hint="eastAsia" w:ascii="仿宋_GB2312" w:eastAsia="仿宋_GB2312"/>
          <w:b/>
          <w:color w:val="000000" w:themeColor="text1"/>
          <w:sz w:val="30"/>
          <w:szCs w:val="30"/>
        </w:rPr>
        <w:t>（二）城市基础设施配套费。</w:t>
      </w:r>
      <w:r>
        <w:rPr>
          <w:rFonts w:hint="eastAsia" w:ascii="仿宋_GB2312" w:eastAsia="仿宋_GB2312"/>
          <w:color w:val="000000" w:themeColor="text1"/>
          <w:sz w:val="30"/>
          <w:szCs w:val="30"/>
        </w:rPr>
        <w:t>按城市总体规划要求，为筹集城市市政公用基础设施建设资金所收取的费用，按建设项目的建筑面积计征。2022年预计完成4730万元。上年结转结余125万元。安排城市基础设施配套支出4855万元。主要项目如下：</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（1）基础设施补贴资金3500万元；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（2）环卫清扫费550万元；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（3）东西区垃圾中转站350万元；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（4）电力配套费255万元。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（5）西区边沟亮化项目100万元；</w:t>
      </w:r>
    </w:p>
    <w:p>
      <w:pPr>
        <w:spacing w:line="600" w:lineRule="exact"/>
        <w:ind w:firstLine="600" w:firstLineChars="200"/>
        <w:rPr>
          <w:rFonts w:ascii="仿宋_GB2312" w:eastAsia="仿宋_GB2312"/>
          <w:color w:val="000000" w:themeColor="text1"/>
          <w:sz w:val="30"/>
          <w:szCs w:val="30"/>
        </w:rPr>
      </w:pPr>
      <w:r>
        <w:rPr>
          <w:rFonts w:hint="eastAsia" w:ascii="仿宋_GB2312" w:eastAsia="仿宋_GB2312"/>
          <w:color w:val="000000" w:themeColor="text1"/>
          <w:sz w:val="30"/>
          <w:szCs w:val="30"/>
        </w:rPr>
        <w:t>（6）危化品专用停车场100万元；</w:t>
      </w:r>
    </w:p>
    <w:bookmarkEnd w:id="50"/>
    <w:p>
      <w:pPr>
        <w:spacing w:line="600" w:lineRule="exact"/>
        <w:ind w:firstLine="600" w:firstLineChars="200"/>
        <w:rPr>
          <w:rFonts w:ascii="仿宋_GB2312" w:eastAsia="仿宋_GB2312"/>
          <w:color w:val="000000" w:themeColor="text1"/>
          <w:sz w:val="30"/>
          <w:szCs w:val="30"/>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spacing w:line="360" w:lineRule="auto"/>
        <w:rPr>
          <w:rFonts w:ascii="仿宋_GB2312" w:eastAsia="仿宋_GB2312"/>
          <w:b/>
          <w:color w:val="000000" w:themeColor="text1"/>
          <w:sz w:val="32"/>
          <w:szCs w:val="32"/>
        </w:rPr>
      </w:pPr>
    </w:p>
    <w:p>
      <w:pPr>
        <w:pStyle w:val="3"/>
        <w:rPr>
          <w:rStyle w:val="20"/>
          <w:rFonts w:ascii="方正小标宋简体" w:hAnsi="方正小标宋简体" w:eastAsia="方正小标宋简体" w:cs="方正小标宋简体"/>
          <w:bCs w:val="0"/>
          <w:color w:val="auto"/>
          <w:kern w:val="44"/>
          <w:szCs w:val="36"/>
          <w:u w:val="none"/>
        </w:rPr>
      </w:pPr>
      <w:bookmarkStart w:id="51" w:name="_Toc91771927"/>
      <w:r>
        <w:rPr>
          <w:rStyle w:val="20"/>
          <w:rFonts w:hint="eastAsia" w:ascii="方正小标宋简体" w:hAnsi="方正小标宋简体" w:eastAsia="方正小标宋简体" w:cs="方正小标宋简体"/>
          <w:bCs w:val="0"/>
          <w:color w:val="auto"/>
          <w:kern w:val="44"/>
          <w:szCs w:val="36"/>
          <w:u w:val="none"/>
        </w:rPr>
        <w:t>§2  2022年政府性基金预算收入表</w:t>
      </w:r>
      <w:bookmarkEnd w:id="51"/>
    </w:p>
    <w:p>
      <w:pPr>
        <w:spacing w:line="360" w:lineRule="auto"/>
        <w:jc w:val="right"/>
        <w:rPr>
          <w:rFonts w:ascii="仿宋_GB2312" w:eastAsia="仿宋_GB2312"/>
          <w:b/>
          <w:color w:val="000000" w:themeColor="text1"/>
          <w:sz w:val="28"/>
          <w:szCs w:val="28"/>
        </w:rPr>
      </w:pPr>
      <w:r>
        <w:rPr>
          <w:rFonts w:hint="eastAsia" w:ascii="仿宋_GB2312" w:hAnsi="宋体" w:eastAsia="仿宋_GB2312" w:cs="宋体"/>
          <w:color w:val="000000"/>
          <w:kern w:val="0"/>
          <w:sz w:val="28"/>
          <w:szCs w:val="28"/>
        </w:rPr>
        <w:t>单位：万元</w:t>
      </w:r>
    </w:p>
    <w:tbl>
      <w:tblPr>
        <w:tblStyle w:val="15"/>
        <w:tblW w:w="8804" w:type="dxa"/>
        <w:tblInd w:w="93" w:type="dxa"/>
        <w:tblLayout w:type="autofit"/>
        <w:tblCellMar>
          <w:top w:w="0" w:type="dxa"/>
          <w:left w:w="108" w:type="dxa"/>
          <w:bottom w:w="0" w:type="dxa"/>
          <w:right w:w="108" w:type="dxa"/>
        </w:tblCellMar>
      </w:tblPr>
      <w:tblGrid>
        <w:gridCol w:w="1840"/>
        <w:gridCol w:w="4160"/>
        <w:gridCol w:w="2804"/>
      </w:tblGrid>
      <w:tr>
        <w:tblPrEx>
          <w:tblCellMar>
            <w:top w:w="0" w:type="dxa"/>
            <w:left w:w="108" w:type="dxa"/>
            <w:bottom w:w="0" w:type="dxa"/>
            <w:right w:w="108" w:type="dxa"/>
          </w:tblCellMar>
        </w:tblPrEx>
        <w:trPr>
          <w:trHeight w:val="702" w:hRule="atLeast"/>
        </w:trPr>
        <w:tc>
          <w:tcPr>
            <w:tcW w:w="184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科目编码</w:t>
            </w:r>
          </w:p>
        </w:tc>
        <w:tc>
          <w:tcPr>
            <w:tcW w:w="416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科目名称</w:t>
            </w:r>
          </w:p>
        </w:tc>
        <w:tc>
          <w:tcPr>
            <w:tcW w:w="2804"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2020年预算</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4"/>
              </w:rPr>
            </w:pPr>
            <w:r>
              <w:rPr>
                <w:rFonts w:ascii="仿宋_GB2312" w:hAnsi="仿宋_GB2312" w:cs="宋体"/>
                <w:color w:val="000000"/>
                <w:kern w:val="0"/>
                <w:sz w:val="24"/>
              </w:rPr>
              <w:t>1030146</w:t>
            </w:r>
          </w:p>
        </w:tc>
        <w:tc>
          <w:tcPr>
            <w:tcW w:w="41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国有土地收益基金收入</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3,000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4"/>
              </w:rPr>
            </w:pPr>
            <w:r>
              <w:rPr>
                <w:rFonts w:ascii="仿宋_GB2312" w:hAnsi="仿宋_GB2312" w:cs="宋体"/>
                <w:color w:val="000000"/>
                <w:kern w:val="0"/>
                <w:sz w:val="24"/>
              </w:rPr>
              <w:t>1030147</w:t>
            </w:r>
          </w:p>
        </w:tc>
        <w:tc>
          <w:tcPr>
            <w:tcW w:w="41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农业土地开发资金收入</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1,080</w:t>
            </w:r>
          </w:p>
        </w:tc>
      </w:tr>
      <w:tr>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4"/>
              </w:rPr>
            </w:pPr>
            <w:r>
              <w:rPr>
                <w:rFonts w:ascii="仿宋_GB2312" w:hAnsi="仿宋_GB2312" w:cs="宋体"/>
                <w:color w:val="000000"/>
                <w:kern w:val="0"/>
                <w:sz w:val="24"/>
              </w:rPr>
              <w:t>1030148</w:t>
            </w:r>
          </w:p>
        </w:tc>
        <w:tc>
          <w:tcPr>
            <w:tcW w:w="41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国有土地使用权出让收入</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43,760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4"/>
              </w:rPr>
            </w:pPr>
            <w:r>
              <w:rPr>
                <w:rFonts w:ascii="仿宋_GB2312" w:hAnsi="仿宋_GB2312" w:cs="宋体"/>
                <w:color w:val="000000"/>
                <w:kern w:val="0"/>
                <w:sz w:val="24"/>
              </w:rPr>
              <w:t>1030156</w:t>
            </w:r>
          </w:p>
        </w:tc>
        <w:tc>
          <w:tcPr>
            <w:tcW w:w="41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城市基础设施配套费收入</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4,730</w:t>
            </w:r>
          </w:p>
        </w:tc>
      </w:tr>
      <w:tr>
        <w:tblPrEx>
          <w:tblCellMar>
            <w:top w:w="0" w:type="dxa"/>
            <w:left w:w="108" w:type="dxa"/>
            <w:bottom w:w="0" w:type="dxa"/>
            <w:right w:w="108" w:type="dxa"/>
          </w:tblCellMar>
        </w:tblPrEx>
        <w:trPr>
          <w:trHeight w:val="702" w:hRule="atLeast"/>
        </w:trPr>
        <w:tc>
          <w:tcPr>
            <w:tcW w:w="6000" w:type="dxa"/>
            <w:gridSpan w:val="2"/>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区本级收入合计</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52,570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4"/>
              </w:rPr>
            </w:pPr>
            <w:r>
              <w:rPr>
                <w:rFonts w:ascii="仿宋_GB2312" w:hAnsi="仿宋_GB2312" w:cs="宋体"/>
                <w:color w:val="000000"/>
                <w:kern w:val="0"/>
                <w:sz w:val="24"/>
              </w:rPr>
              <w:t>1100802</w:t>
            </w:r>
          </w:p>
        </w:tc>
        <w:tc>
          <w:tcPr>
            <w:tcW w:w="4160"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上年结余收入</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6,500</w:t>
            </w:r>
          </w:p>
        </w:tc>
      </w:tr>
      <w:tr>
        <w:trPr>
          <w:trHeight w:val="702" w:hRule="atLeast"/>
        </w:trPr>
        <w:tc>
          <w:tcPr>
            <w:tcW w:w="600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转移性收入合计</w:t>
            </w:r>
          </w:p>
        </w:tc>
        <w:tc>
          <w:tcPr>
            <w:tcW w:w="2804"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6,500</w:t>
            </w:r>
          </w:p>
        </w:tc>
      </w:tr>
      <w:tr>
        <w:tblPrEx>
          <w:tblCellMar>
            <w:top w:w="0" w:type="dxa"/>
            <w:left w:w="108" w:type="dxa"/>
            <w:bottom w:w="0" w:type="dxa"/>
            <w:right w:w="108" w:type="dxa"/>
          </w:tblCellMar>
        </w:tblPrEx>
        <w:trPr>
          <w:trHeight w:val="702" w:hRule="atLeast"/>
        </w:trPr>
        <w:tc>
          <w:tcPr>
            <w:tcW w:w="600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政府性基金预算收入总计</w:t>
            </w:r>
          </w:p>
        </w:tc>
        <w:tc>
          <w:tcPr>
            <w:tcW w:w="2804"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59,070</w:t>
            </w:r>
          </w:p>
        </w:tc>
      </w:tr>
    </w:tbl>
    <w:p>
      <w:pPr>
        <w:spacing w:line="360" w:lineRule="auto"/>
        <w:rPr>
          <w:rFonts w:ascii="仿宋_GB2312" w:eastAsia="仿宋_GB2312"/>
          <w:b/>
          <w:color w:val="000000" w:themeColor="text1"/>
          <w:sz w:val="32"/>
          <w:szCs w:val="32"/>
        </w:rPr>
      </w:pPr>
    </w:p>
    <w:p>
      <w:pPr>
        <w:spacing w:line="600" w:lineRule="exact"/>
        <w:rPr>
          <w:rFonts w:ascii="方正小标宋简体" w:hAnsi="黑体" w:eastAsia="方正小标宋简体"/>
          <w:kern w:val="0"/>
          <w:sz w:val="36"/>
          <w:szCs w:val="36"/>
          <w:lang w:bidi="en-US"/>
        </w:rPr>
      </w:pPr>
      <w:bookmarkStart w:id="52" w:name="_Toc64555284"/>
    </w:p>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p>
      <w:pPr>
        <w:pStyle w:val="3"/>
        <w:rPr>
          <w:rStyle w:val="20"/>
          <w:rFonts w:ascii="方正小标宋简体" w:hAnsi="方正小标宋简体" w:eastAsia="方正小标宋简体" w:cs="方正小标宋简体"/>
          <w:bCs w:val="0"/>
          <w:color w:val="auto"/>
          <w:kern w:val="44"/>
          <w:szCs w:val="36"/>
          <w:u w:val="none"/>
        </w:rPr>
      </w:pPr>
      <w:bookmarkStart w:id="53" w:name="_Toc91771928"/>
      <w:r>
        <w:rPr>
          <w:rStyle w:val="20"/>
          <w:rFonts w:hint="eastAsia" w:ascii="方正小标宋简体" w:hAnsi="方正小标宋简体" w:eastAsia="方正小标宋简体" w:cs="方正小标宋简体"/>
          <w:bCs w:val="0"/>
          <w:color w:val="auto"/>
          <w:kern w:val="44"/>
          <w:szCs w:val="36"/>
          <w:u w:val="none"/>
        </w:rPr>
        <w:t>§3  2022年政府性基金预算支出安排情况表</w:t>
      </w:r>
      <w:bookmarkEnd w:id="53"/>
    </w:p>
    <w:p>
      <w:pPr>
        <w:spacing w:line="360" w:lineRule="auto"/>
        <w:jc w:val="right"/>
        <w:rPr>
          <w:rFonts w:ascii="仿宋_GB2312" w:eastAsia="仿宋_GB2312"/>
          <w:b/>
          <w:color w:val="000000" w:themeColor="text1"/>
          <w:sz w:val="28"/>
          <w:szCs w:val="28"/>
        </w:rPr>
      </w:pPr>
      <w:r>
        <w:rPr>
          <w:rFonts w:hint="eastAsia" w:ascii="仿宋_GB2312" w:hAnsi="宋体" w:eastAsia="仿宋_GB2312" w:cs="宋体"/>
          <w:color w:val="000000"/>
          <w:kern w:val="0"/>
          <w:sz w:val="28"/>
          <w:szCs w:val="28"/>
        </w:rPr>
        <w:t>单位：万元</w:t>
      </w:r>
    </w:p>
    <w:tbl>
      <w:tblPr>
        <w:tblStyle w:val="15"/>
        <w:tblW w:w="8691" w:type="dxa"/>
        <w:tblInd w:w="93" w:type="dxa"/>
        <w:tblLayout w:type="autofit"/>
        <w:tblCellMar>
          <w:top w:w="0" w:type="dxa"/>
          <w:left w:w="108" w:type="dxa"/>
          <w:bottom w:w="0" w:type="dxa"/>
          <w:right w:w="108" w:type="dxa"/>
        </w:tblCellMar>
      </w:tblPr>
      <w:tblGrid>
        <w:gridCol w:w="1840"/>
        <w:gridCol w:w="4583"/>
        <w:gridCol w:w="2268"/>
      </w:tblGrid>
      <w:tr>
        <w:tblPrEx>
          <w:tblCellMar>
            <w:top w:w="0" w:type="dxa"/>
            <w:left w:w="108" w:type="dxa"/>
            <w:bottom w:w="0" w:type="dxa"/>
            <w:right w:w="108" w:type="dxa"/>
          </w:tblCellMar>
        </w:tblPrEx>
        <w:trPr>
          <w:trHeight w:val="702" w:hRule="atLeast"/>
        </w:trPr>
        <w:tc>
          <w:tcPr>
            <w:tcW w:w="184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科目编码</w:t>
            </w:r>
          </w:p>
        </w:tc>
        <w:tc>
          <w:tcPr>
            <w:tcW w:w="4583"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2268"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2021年预算</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212</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城乡社区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48,895</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21208</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国有土地使用权出让收入安排的支出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44,040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21213</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城市基础设施配套费及对应专项债务收入安排的支出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4,855</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232</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债务付息支出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6,800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23204</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地方政府专项债务付息支出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6,800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233</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债务发行费用支出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115</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23204</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地方政府专项债务发行费用支出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115</w:t>
            </w:r>
          </w:p>
        </w:tc>
      </w:tr>
      <w:tr>
        <w:tblPrEx>
          <w:tblCellMar>
            <w:top w:w="0" w:type="dxa"/>
            <w:left w:w="108" w:type="dxa"/>
            <w:bottom w:w="0" w:type="dxa"/>
            <w:right w:w="108" w:type="dxa"/>
          </w:tblCellMar>
        </w:tblPrEx>
        <w:trPr>
          <w:trHeight w:val="702" w:hRule="atLeast"/>
        </w:trPr>
        <w:tc>
          <w:tcPr>
            <w:tcW w:w="6423" w:type="dxa"/>
            <w:gridSpan w:val="2"/>
            <w:tcBorders>
              <w:top w:val="single" w:color="auto" w:sz="4" w:space="0"/>
              <w:left w:val="single" w:color="auto" w:sz="8" w:space="0"/>
              <w:bottom w:val="nil"/>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政府性基金预算本级支出合计</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55,810</w:t>
            </w:r>
          </w:p>
        </w:tc>
      </w:tr>
      <w:tr>
        <w:tblPrEx>
          <w:tblCellMar>
            <w:top w:w="0" w:type="dxa"/>
            <w:left w:w="108" w:type="dxa"/>
            <w:bottom w:w="0" w:type="dxa"/>
            <w:right w:w="108" w:type="dxa"/>
          </w:tblCellMar>
        </w:tblPrEx>
        <w:trPr>
          <w:trHeight w:val="702" w:hRule="atLeast"/>
        </w:trPr>
        <w:tc>
          <w:tcPr>
            <w:tcW w:w="184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230</w:t>
            </w:r>
          </w:p>
        </w:tc>
        <w:tc>
          <w:tcPr>
            <w:tcW w:w="458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转移性支出</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3,260</w:t>
            </w:r>
          </w:p>
        </w:tc>
      </w:tr>
      <w:tr>
        <w:tblPrEx>
          <w:tblCellMar>
            <w:top w:w="0" w:type="dxa"/>
            <w:left w:w="108" w:type="dxa"/>
            <w:bottom w:w="0" w:type="dxa"/>
            <w:right w:w="108" w:type="dxa"/>
          </w:tblCellMar>
        </w:tblPrEx>
        <w:trPr>
          <w:trHeight w:val="702"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23008</w:t>
            </w:r>
          </w:p>
        </w:tc>
        <w:tc>
          <w:tcPr>
            <w:tcW w:w="4583"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xml:space="preserve">    调出资金</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3,260</w:t>
            </w:r>
          </w:p>
        </w:tc>
      </w:tr>
      <w:tr>
        <w:tblPrEx>
          <w:tblCellMar>
            <w:top w:w="0" w:type="dxa"/>
            <w:left w:w="108" w:type="dxa"/>
            <w:bottom w:w="0" w:type="dxa"/>
            <w:right w:w="108" w:type="dxa"/>
          </w:tblCellMar>
        </w:tblPrEx>
        <w:trPr>
          <w:trHeight w:val="702" w:hRule="atLeast"/>
        </w:trPr>
        <w:tc>
          <w:tcPr>
            <w:tcW w:w="642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转移性支出合计</w:t>
            </w:r>
          </w:p>
        </w:tc>
        <w:tc>
          <w:tcPr>
            <w:tcW w:w="2268"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3,260</w:t>
            </w:r>
          </w:p>
        </w:tc>
      </w:tr>
      <w:tr>
        <w:tblPrEx>
          <w:tblCellMar>
            <w:top w:w="0" w:type="dxa"/>
            <w:left w:w="108" w:type="dxa"/>
            <w:bottom w:w="0" w:type="dxa"/>
            <w:right w:w="108" w:type="dxa"/>
          </w:tblCellMar>
        </w:tblPrEx>
        <w:trPr>
          <w:trHeight w:val="702" w:hRule="atLeast"/>
        </w:trPr>
        <w:tc>
          <w:tcPr>
            <w:tcW w:w="6423"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政府性基金预算支出总计</w:t>
            </w:r>
          </w:p>
        </w:tc>
        <w:tc>
          <w:tcPr>
            <w:tcW w:w="2268" w:type="dxa"/>
            <w:tcBorders>
              <w:top w:val="nil"/>
              <w:left w:val="nil"/>
              <w:bottom w:val="single" w:color="auto" w:sz="8" w:space="0"/>
              <w:right w:val="single" w:color="auto" w:sz="8" w:space="0"/>
            </w:tcBorders>
            <w:shd w:val="clear" w:color="auto" w:fill="auto"/>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59,070</w:t>
            </w:r>
          </w:p>
        </w:tc>
      </w:tr>
    </w:tbl>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p>
      <w:pPr>
        <w:spacing w:line="600" w:lineRule="exact"/>
        <w:rPr>
          <w:rFonts w:ascii="方正小标宋简体" w:hAnsi="黑体" w:eastAsia="方正小标宋简体"/>
          <w:kern w:val="0"/>
          <w:sz w:val="36"/>
          <w:szCs w:val="36"/>
          <w:lang w:bidi="en-US"/>
        </w:rPr>
      </w:pPr>
    </w:p>
    <w:bookmarkEnd w:id="52"/>
    <w:p>
      <w:pPr>
        <w:rPr>
          <w:rFonts w:ascii="仿宋_GB2312" w:eastAsia="仿宋_GB2312"/>
          <w:sz w:val="30"/>
          <w:szCs w:val="30"/>
        </w:rPr>
      </w:pPr>
    </w:p>
    <w:p>
      <w:pPr>
        <w:pStyle w:val="3"/>
        <w:rPr>
          <w:rStyle w:val="20"/>
          <w:rFonts w:ascii="方正小标宋简体" w:hAnsi="方正小标宋简体" w:eastAsia="方正小标宋简体" w:cs="方正小标宋简体"/>
          <w:bCs w:val="0"/>
          <w:color w:val="auto"/>
          <w:kern w:val="44"/>
          <w:szCs w:val="36"/>
          <w:u w:val="none"/>
        </w:rPr>
      </w:pPr>
      <w:bookmarkStart w:id="54" w:name="_Toc91771929"/>
      <w:r>
        <w:rPr>
          <w:rStyle w:val="20"/>
          <w:rFonts w:hint="eastAsia" w:ascii="方正小标宋简体" w:hAnsi="方正小标宋简体" w:eastAsia="方正小标宋简体" w:cs="方正小标宋简体"/>
          <w:bCs w:val="0"/>
          <w:color w:val="auto"/>
          <w:kern w:val="44"/>
          <w:szCs w:val="36"/>
          <w:u w:val="none"/>
        </w:rPr>
        <w:t>§4  2022年政府性基金分项目安排情况表</w:t>
      </w:r>
      <w:bookmarkEnd w:id="54"/>
    </w:p>
    <w:p>
      <w:pPr>
        <w:spacing w:line="360" w:lineRule="auto"/>
        <w:jc w:val="right"/>
        <w:rPr>
          <w:rFonts w:ascii="仿宋_GB2312" w:eastAsia="仿宋_GB2312"/>
          <w:b/>
          <w:color w:val="000000" w:themeColor="text1"/>
          <w:sz w:val="28"/>
          <w:szCs w:val="28"/>
        </w:rPr>
      </w:pPr>
      <w:r>
        <w:rPr>
          <w:rFonts w:hint="eastAsia" w:ascii="仿宋_GB2312" w:hAnsi="宋体" w:eastAsia="仿宋_GB2312" w:cs="宋体"/>
          <w:color w:val="000000"/>
          <w:kern w:val="0"/>
          <w:sz w:val="28"/>
          <w:szCs w:val="28"/>
        </w:rPr>
        <w:t>单位：万元</w:t>
      </w:r>
    </w:p>
    <w:tbl>
      <w:tblPr>
        <w:tblStyle w:val="15"/>
        <w:tblW w:w="8946" w:type="dxa"/>
        <w:tblInd w:w="93" w:type="dxa"/>
        <w:tblLayout w:type="autofit"/>
        <w:tblCellMar>
          <w:top w:w="0" w:type="dxa"/>
          <w:left w:w="108" w:type="dxa"/>
          <w:bottom w:w="0" w:type="dxa"/>
          <w:right w:w="108" w:type="dxa"/>
        </w:tblCellMar>
      </w:tblPr>
      <w:tblGrid>
        <w:gridCol w:w="6817"/>
        <w:gridCol w:w="2129"/>
      </w:tblGrid>
      <w:tr>
        <w:tblPrEx>
          <w:tblCellMar>
            <w:top w:w="0" w:type="dxa"/>
            <w:left w:w="108" w:type="dxa"/>
            <w:bottom w:w="0" w:type="dxa"/>
            <w:right w:w="108" w:type="dxa"/>
          </w:tblCellMar>
        </w:tblPrEx>
        <w:trPr>
          <w:trHeight w:val="402" w:hRule="atLeast"/>
        </w:trPr>
        <w:tc>
          <w:tcPr>
            <w:tcW w:w="6817" w:type="dxa"/>
            <w:tcBorders>
              <w:top w:val="single" w:color="auto" w:sz="8" w:space="0"/>
              <w:left w:val="single" w:color="auto" w:sz="8" w:space="0"/>
              <w:bottom w:val="single" w:color="auto" w:sz="4" w:space="0"/>
              <w:right w:val="single" w:color="auto" w:sz="4" w:space="0"/>
            </w:tcBorders>
            <w:shd w:val="clear" w:color="auto" w:fill="auto"/>
            <w:vAlign w:val="bottom"/>
          </w:tcPr>
          <w:p>
            <w:pPr>
              <w:widowControl/>
              <w:jc w:val="center"/>
              <w:rPr>
                <w:rFonts w:ascii="宋体" w:hAnsi="宋体" w:cs="宋体"/>
                <w:b/>
                <w:bCs/>
                <w:color w:val="000000"/>
                <w:kern w:val="0"/>
                <w:sz w:val="24"/>
              </w:rPr>
            </w:pPr>
            <w:r>
              <w:rPr>
                <w:rFonts w:hint="eastAsia" w:ascii="宋体" w:hAnsi="宋体" w:cs="宋体"/>
                <w:b/>
                <w:bCs/>
                <w:color w:val="000000"/>
                <w:kern w:val="0"/>
                <w:sz w:val="24"/>
              </w:rPr>
              <w:t>项    目</w:t>
            </w:r>
          </w:p>
        </w:tc>
        <w:tc>
          <w:tcPr>
            <w:tcW w:w="2129" w:type="dxa"/>
            <w:tcBorders>
              <w:top w:val="single" w:color="auto" w:sz="8" w:space="0"/>
              <w:left w:val="nil"/>
              <w:bottom w:val="single" w:color="auto" w:sz="4" w:space="0"/>
              <w:right w:val="single" w:color="auto" w:sz="8" w:space="0"/>
            </w:tcBorders>
            <w:shd w:val="clear" w:color="auto" w:fill="auto"/>
            <w:vAlign w:val="bottom"/>
          </w:tcPr>
          <w:p>
            <w:pPr>
              <w:widowControl/>
              <w:jc w:val="center"/>
              <w:rPr>
                <w:rFonts w:ascii="宋体" w:hAnsi="宋体" w:cs="宋体"/>
                <w:b/>
                <w:bCs/>
                <w:color w:val="000000"/>
                <w:kern w:val="0"/>
                <w:sz w:val="24"/>
              </w:rPr>
            </w:pPr>
            <w:r>
              <w:rPr>
                <w:rFonts w:hint="eastAsia" w:ascii="宋体" w:hAnsi="宋体" w:cs="宋体"/>
                <w:b/>
                <w:bCs/>
                <w:color w:val="000000"/>
                <w:kern w:val="0"/>
                <w:sz w:val="24"/>
              </w:rPr>
              <w:t>金额</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项目支出合计</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w:t>
            </w:r>
            <w:r>
              <w:rPr>
                <w:rFonts w:hint="eastAsia" w:ascii="仿宋_GB2312" w:hAnsi="仿宋_GB2312" w:cs="宋体"/>
                <w:b/>
                <w:bCs/>
                <w:color w:val="000000"/>
                <w:kern w:val="0"/>
                <w:sz w:val="24"/>
              </w:rPr>
              <w:t>55</w:t>
            </w:r>
            <w:r>
              <w:rPr>
                <w:rFonts w:ascii="仿宋_GB2312" w:hAnsi="仿宋_GB2312" w:cs="宋体"/>
                <w:b/>
                <w:bCs/>
                <w:color w:val="000000"/>
                <w:kern w:val="0"/>
                <w:sz w:val="24"/>
              </w:rPr>
              <w:t>,8</w:t>
            </w:r>
            <w:r>
              <w:rPr>
                <w:rFonts w:hint="eastAsia" w:ascii="仿宋_GB2312" w:hAnsi="仿宋_GB2312" w:cs="宋体"/>
                <w:b/>
                <w:bCs/>
                <w:color w:val="000000"/>
                <w:kern w:val="0"/>
                <w:sz w:val="24"/>
              </w:rPr>
              <w:t>10</w:t>
            </w:r>
            <w:r>
              <w:rPr>
                <w:rFonts w:ascii="仿宋_GB2312" w:hAnsi="仿宋_GB2312" w:cs="宋体"/>
                <w:b/>
                <w:bCs/>
                <w:color w:val="000000"/>
                <w:kern w:val="0"/>
                <w:sz w:val="24"/>
              </w:rPr>
              <w:t xml:space="preserve">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黑体" w:hAnsi="黑体" w:eastAsia="黑体" w:cs="宋体"/>
                <w:color w:val="000000"/>
                <w:kern w:val="0"/>
                <w:sz w:val="24"/>
              </w:rPr>
            </w:pPr>
            <w:r>
              <w:rPr>
                <w:rFonts w:hint="eastAsia" w:ascii="黑体" w:hAnsi="黑体" w:eastAsia="黑体" w:cs="宋体"/>
                <w:color w:val="000000"/>
                <w:kern w:val="0"/>
                <w:sz w:val="24"/>
              </w:rPr>
              <w:t>一、土地出让金</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50,955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1、征地和拆迁补偿支出、开发性支出</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30,000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2、专项债券付息支出</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6,800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3、购买补充耕地指标</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6,000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4、开发区道路、通信、雨水、绿化等工程项目</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2,860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5、资产出让相关税费</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1,800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6、消防站</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1,600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7、危化品车辆管理信息平台</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700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8、应急医疗救援服务中心项目</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480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9、市政基础设施维修维护管理费</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10、东西区隐患治理、西区泵站改造</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11、专项债券发行费用</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115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黑体" w:hAnsi="黑体" w:eastAsia="黑体" w:cs="宋体"/>
                <w:color w:val="000000"/>
                <w:kern w:val="0"/>
                <w:sz w:val="24"/>
              </w:rPr>
            </w:pPr>
            <w:r>
              <w:rPr>
                <w:rFonts w:hint="eastAsia" w:ascii="黑体" w:hAnsi="黑体" w:eastAsia="黑体" w:cs="宋体"/>
                <w:color w:val="000000"/>
                <w:kern w:val="0"/>
                <w:sz w:val="24"/>
              </w:rPr>
              <w:t>二、城市基础设施配套费</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b/>
                <w:bCs/>
                <w:color w:val="000000"/>
                <w:kern w:val="0"/>
                <w:sz w:val="24"/>
              </w:rPr>
            </w:pPr>
            <w:r>
              <w:rPr>
                <w:rFonts w:ascii="仿宋_GB2312" w:hAnsi="仿宋_GB2312" w:cs="宋体"/>
                <w:b/>
                <w:bCs/>
                <w:color w:val="000000"/>
                <w:kern w:val="0"/>
                <w:sz w:val="24"/>
              </w:rPr>
              <w:t xml:space="preserve">      4,855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1、企业奖励资金</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3,500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2、环卫清扫费</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550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3、东西区垃圾中转站</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350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4、电力配套费</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255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4"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5、西区边沟亮化项目</w:t>
            </w:r>
          </w:p>
        </w:tc>
        <w:tc>
          <w:tcPr>
            <w:tcW w:w="2129" w:type="dxa"/>
            <w:tcBorders>
              <w:top w:val="nil"/>
              <w:left w:val="nil"/>
              <w:bottom w:val="single" w:color="auto" w:sz="4"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100 </w:t>
            </w:r>
          </w:p>
        </w:tc>
      </w:tr>
      <w:tr>
        <w:tblPrEx>
          <w:tblCellMar>
            <w:top w:w="0" w:type="dxa"/>
            <w:left w:w="108" w:type="dxa"/>
            <w:bottom w:w="0" w:type="dxa"/>
            <w:right w:w="108" w:type="dxa"/>
          </w:tblCellMar>
        </w:tblPrEx>
        <w:trPr>
          <w:trHeight w:val="402" w:hRule="atLeast"/>
        </w:trPr>
        <w:tc>
          <w:tcPr>
            <w:tcW w:w="6817" w:type="dxa"/>
            <w:tcBorders>
              <w:top w:val="nil"/>
              <w:left w:val="single" w:color="auto" w:sz="8" w:space="0"/>
              <w:bottom w:val="single" w:color="auto" w:sz="8" w:space="0"/>
              <w:right w:val="single" w:color="auto" w:sz="4" w:space="0"/>
            </w:tcBorders>
            <w:shd w:val="clear" w:color="auto" w:fill="auto"/>
            <w:vAlign w:val="bottom"/>
          </w:tcPr>
          <w:p>
            <w:pPr>
              <w:widowControl/>
              <w:rPr>
                <w:rFonts w:ascii="仿宋_GB2312" w:hAnsi="仿宋_GB2312" w:cs="宋体"/>
                <w:color w:val="000000"/>
                <w:kern w:val="0"/>
                <w:sz w:val="24"/>
              </w:rPr>
            </w:pPr>
            <w:r>
              <w:rPr>
                <w:rFonts w:ascii="仿宋_GB2312" w:hAnsi="仿宋_GB2312" w:cs="宋体"/>
                <w:color w:val="000000"/>
                <w:kern w:val="0"/>
                <w:sz w:val="24"/>
              </w:rPr>
              <w:t xml:space="preserve">    6、危化品专用停车场</w:t>
            </w:r>
          </w:p>
        </w:tc>
        <w:tc>
          <w:tcPr>
            <w:tcW w:w="2129" w:type="dxa"/>
            <w:tcBorders>
              <w:top w:val="nil"/>
              <w:left w:val="nil"/>
              <w:bottom w:val="single" w:color="auto" w:sz="8" w:space="0"/>
              <w:right w:val="single" w:color="auto" w:sz="8" w:space="0"/>
            </w:tcBorders>
            <w:shd w:val="clear" w:color="auto" w:fill="auto"/>
            <w:vAlign w:val="bottom"/>
          </w:tcPr>
          <w:p>
            <w:pPr>
              <w:widowControl/>
              <w:jc w:val="right"/>
              <w:rPr>
                <w:rFonts w:ascii="仿宋_GB2312" w:hAnsi="仿宋_GB2312" w:cs="宋体"/>
                <w:color w:val="000000"/>
                <w:kern w:val="0"/>
                <w:sz w:val="24"/>
              </w:rPr>
            </w:pPr>
            <w:r>
              <w:rPr>
                <w:rFonts w:ascii="仿宋_GB2312" w:hAnsi="仿宋_GB2312" w:cs="宋体"/>
                <w:color w:val="000000"/>
                <w:kern w:val="0"/>
                <w:sz w:val="24"/>
              </w:rPr>
              <w:t xml:space="preserve">          100 </w:t>
            </w:r>
          </w:p>
        </w:tc>
      </w:tr>
    </w:tbl>
    <w:p>
      <w:pPr>
        <w:sectPr>
          <w:pgSz w:w="11906" w:h="16838"/>
          <w:pgMar w:top="1440" w:right="1701" w:bottom="1440" w:left="1588" w:header="709" w:footer="709" w:gutter="0"/>
          <w:cols w:space="708" w:num="1"/>
          <w:titlePg/>
          <w:docGrid w:type="lines" w:linePitch="360" w:charSpace="0"/>
        </w:sectPr>
      </w:pPr>
    </w:p>
    <w:p>
      <w:pPr>
        <w:widowControl/>
        <w:jc w:val="center"/>
        <w:rPr>
          <w:rFonts w:ascii="方正小标宋简体" w:hAnsi="方正小标宋简体" w:eastAsia="方正小标宋简体" w:cs="方正小标宋简体"/>
          <w:b/>
          <w:color w:val="000000"/>
          <w:kern w:val="0"/>
          <w:sz w:val="52"/>
          <w:szCs w:val="52"/>
          <w:lang w:bidi="en-US"/>
        </w:rPr>
      </w:pPr>
      <w:bookmarkStart w:id="55" w:name="_Toc500947604"/>
      <w:bookmarkStart w:id="56" w:name="_Toc64555285"/>
    </w:p>
    <w:p>
      <w:pPr>
        <w:widowControl/>
        <w:jc w:val="center"/>
        <w:rPr>
          <w:rFonts w:ascii="方正小标宋简体" w:hAnsi="方正小标宋简体" w:eastAsia="方正小标宋简体" w:cs="方正小标宋简体"/>
          <w:b/>
          <w:color w:val="000000"/>
          <w:kern w:val="0"/>
          <w:sz w:val="52"/>
          <w:szCs w:val="52"/>
          <w:lang w:bidi="en-US"/>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rPr>
          <w:rFonts w:ascii="仿宋_GB2312" w:eastAsia="仿宋_GB2312"/>
          <w:color w:val="000000" w:themeColor="text1"/>
          <w:sz w:val="30"/>
          <w:szCs w:val="30"/>
        </w:rPr>
      </w:pPr>
    </w:p>
    <w:p>
      <w:pPr>
        <w:pStyle w:val="2"/>
        <w:rPr>
          <w:rStyle w:val="20"/>
          <w:rFonts w:ascii="方正小标宋简体" w:hAnsi="方正小标宋简体" w:eastAsia="方正小标宋简体" w:cs="方正小标宋简体"/>
          <w:bCs w:val="0"/>
          <w:color w:val="auto"/>
          <w:szCs w:val="52"/>
          <w:u w:val="none"/>
        </w:rPr>
      </w:pPr>
      <w:bookmarkStart w:id="57" w:name="_Toc91771930"/>
      <w:bookmarkStart w:id="58" w:name="_Toc64555290"/>
      <w:bookmarkStart w:id="59" w:name="_Toc500947609"/>
      <w:r>
        <w:rPr>
          <w:rStyle w:val="20"/>
          <w:rFonts w:hint="eastAsia" w:ascii="方正小标宋简体" w:hAnsi="方正小标宋简体" w:eastAsia="方正小标宋简体" w:cs="方正小标宋简体"/>
          <w:bCs w:val="0"/>
          <w:color w:val="auto"/>
          <w:szCs w:val="52"/>
          <w:u w:val="none"/>
        </w:rPr>
        <w:t>第四部分</w:t>
      </w:r>
      <w:bookmarkEnd w:id="57"/>
      <w:r>
        <w:rPr>
          <w:rStyle w:val="20"/>
          <w:rFonts w:ascii="方正小标宋简体" w:hAnsi="方正小标宋简体" w:eastAsia="方正小标宋简体" w:cs="方正小标宋简体"/>
          <w:bCs w:val="0"/>
          <w:color w:val="auto"/>
          <w:szCs w:val="52"/>
          <w:u w:val="none"/>
        </w:rPr>
        <w:t xml:space="preserve"> </w:t>
      </w:r>
    </w:p>
    <w:p>
      <w:pPr>
        <w:pStyle w:val="2"/>
        <w:rPr>
          <w:rStyle w:val="20"/>
          <w:rFonts w:ascii="方正小标宋简体" w:hAnsi="方正小标宋简体" w:eastAsia="方正小标宋简体" w:cs="方正小标宋简体"/>
          <w:bCs w:val="0"/>
          <w:color w:val="auto"/>
          <w:szCs w:val="52"/>
          <w:u w:val="none"/>
        </w:rPr>
      </w:pPr>
      <w:r>
        <w:rPr>
          <w:rStyle w:val="20"/>
          <w:rFonts w:ascii="方正小标宋简体" w:hAnsi="方正小标宋简体" w:eastAsia="方正小标宋简体" w:cs="方正小标宋简体"/>
          <w:bCs w:val="0"/>
          <w:color w:val="auto"/>
          <w:szCs w:val="52"/>
          <w:u w:val="none"/>
        </w:rPr>
        <w:t xml:space="preserve"> </w:t>
      </w:r>
      <w:bookmarkStart w:id="60" w:name="_Toc91771931"/>
      <w:bookmarkStart w:id="61" w:name="_Toc91510405"/>
      <w:bookmarkStart w:id="62" w:name="_Toc91439483"/>
      <w:r>
        <w:rPr>
          <w:rStyle w:val="20"/>
          <w:rFonts w:hint="eastAsia" w:ascii="方正小标宋简体" w:hAnsi="方正小标宋简体" w:eastAsia="方正小标宋简体" w:cs="方正小标宋简体"/>
          <w:bCs w:val="0"/>
          <w:color w:val="auto"/>
          <w:szCs w:val="52"/>
          <w:u w:val="none"/>
        </w:rPr>
        <w:t>2022年沧州临港经济技术开发区</w:t>
      </w:r>
      <w:bookmarkEnd w:id="60"/>
      <w:bookmarkEnd w:id="61"/>
      <w:bookmarkEnd w:id="62"/>
    </w:p>
    <w:p>
      <w:pPr>
        <w:pStyle w:val="2"/>
        <w:rPr>
          <w:rStyle w:val="20"/>
          <w:rFonts w:ascii="方正小标宋简体" w:hAnsi="方正小标宋简体" w:eastAsia="方正小标宋简体" w:cs="方正小标宋简体"/>
          <w:bCs w:val="0"/>
          <w:color w:val="auto"/>
          <w:szCs w:val="52"/>
          <w:u w:val="none"/>
        </w:rPr>
      </w:pPr>
      <w:bookmarkStart w:id="63" w:name="_Toc91771932"/>
      <w:bookmarkStart w:id="64" w:name="_Toc91439484"/>
      <w:bookmarkStart w:id="65" w:name="_Toc91510406"/>
      <w:r>
        <w:rPr>
          <w:rStyle w:val="20"/>
          <w:rFonts w:hint="eastAsia" w:ascii="方正小标宋简体" w:hAnsi="方正小标宋简体" w:eastAsia="方正小标宋简体" w:cs="方正小标宋简体"/>
          <w:bCs w:val="0"/>
          <w:color w:val="auto"/>
          <w:szCs w:val="52"/>
          <w:u w:val="none"/>
        </w:rPr>
        <w:t>国有资本经营预算（草案）</w:t>
      </w:r>
      <w:bookmarkEnd w:id="58"/>
      <w:bookmarkEnd w:id="59"/>
      <w:bookmarkEnd w:id="63"/>
      <w:bookmarkEnd w:id="64"/>
      <w:bookmarkEnd w:id="65"/>
    </w:p>
    <w:p/>
    <w:p/>
    <w:p/>
    <w:p/>
    <w:p/>
    <w:p/>
    <w:p/>
    <w:p/>
    <w:p/>
    <w:p/>
    <w:p/>
    <w:p/>
    <w:p/>
    <w:p/>
    <w:p/>
    <w:p/>
    <w:p>
      <w:pPr>
        <w:spacing w:line="560" w:lineRule="exact"/>
        <w:ind w:firstLine="600" w:firstLineChars="200"/>
        <w:rPr>
          <w:rFonts w:ascii="仿宋_GB2312" w:eastAsia="仿宋_GB2312"/>
          <w:sz w:val="30"/>
          <w:szCs w:val="30"/>
        </w:rPr>
        <w:sectPr>
          <w:pgSz w:w="11906" w:h="16838"/>
          <w:pgMar w:top="1440" w:right="1701" w:bottom="1440" w:left="1588" w:header="709" w:footer="709" w:gutter="0"/>
          <w:cols w:space="708" w:num="1"/>
          <w:titlePg/>
          <w:docGrid w:type="lines" w:linePitch="360" w:charSpace="0"/>
        </w:sectPr>
      </w:pPr>
      <w:r>
        <w:rPr>
          <w:rFonts w:hint="eastAsia" w:ascii="仿宋_GB2312" w:eastAsia="仿宋_GB2312"/>
          <w:sz w:val="30"/>
          <w:szCs w:val="30"/>
        </w:rPr>
        <w:t>2022年沧州临港经济技术开发区无国有资本经营预算。</w:t>
      </w:r>
    </w:p>
    <w:p>
      <w:pPr>
        <w:pStyle w:val="2"/>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p>
    <w:p>
      <w:pPr>
        <w:pStyle w:val="2"/>
        <w:rPr>
          <w:rStyle w:val="20"/>
          <w:rFonts w:ascii="方正小标宋简体" w:hAnsi="方正小标宋简体" w:eastAsia="方正小标宋简体" w:cs="方正小标宋简体"/>
          <w:bCs w:val="0"/>
          <w:color w:val="auto"/>
          <w:szCs w:val="52"/>
          <w:u w:val="none"/>
        </w:rPr>
      </w:pPr>
      <w:bookmarkStart w:id="66" w:name="_Toc91771933"/>
      <w:r>
        <w:rPr>
          <w:rStyle w:val="20"/>
          <w:rFonts w:hint="eastAsia" w:ascii="方正小标宋简体" w:hAnsi="方正小标宋简体" w:eastAsia="方正小标宋简体" w:cs="方正小标宋简体"/>
          <w:bCs w:val="0"/>
          <w:color w:val="auto"/>
          <w:szCs w:val="52"/>
          <w:u w:val="none"/>
        </w:rPr>
        <w:t>第五部分</w:t>
      </w:r>
      <w:bookmarkEnd w:id="66"/>
    </w:p>
    <w:p>
      <w:pPr>
        <w:pStyle w:val="2"/>
        <w:rPr>
          <w:rStyle w:val="20"/>
          <w:rFonts w:ascii="方正小标宋简体" w:hAnsi="方正小标宋简体" w:eastAsia="方正小标宋简体" w:cs="方正小标宋简体"/>
          <w:bCs w:val="0"/>
          <w:color w:val="auto"/>
          <w:szCs w:val="52"/>
          <w:u w:val="none"/>
        </w:rPr>
      </w:pPr>
      <w:r>
        <w:rPr>
          <w:rStyle w:val="20"/>
          <w:rFonts w:ascii="方正小标宋简体" w:hAnsi="方正小标宋简体" w:eastAsia="方正小标宋简体" w:cs="方正小标宋简体"/>
          <w:bCs w:val="0"/>
          <w:color w:val="auto"/>
          <w:szCs w:val="52"/>
          <w:u w:val="none"/>
        </w:rPr>
        <w:t xml:space="preserve">  </w:t>
      </w:r>
      <w:bookmarkStart w:id="67" w:name="_Toc91510398"/>
      <w:bookmarkStart w:id="68" w:name="_Toc91439476"/>
      <w:bookmarkStart w:id="69" w:name="_Toc91771934"/>
      <w:r>
        <w:rPr>
          <w:rStyle w:val="20"/>
          <w:rFonts w:hint="eastAsia" w:ascii="方正小标宋简体" w:hAnsi="方正小标宋简体" w:eastAsia="方正小标宋简体" w:cs="方正小标宋简体"/>
          <w:bCs w:val="0"/>
          <w:color w:val="auto"/>
          <w:szCs w:val="52"/>
          <w:u w:val="none"/>
        </w:rPr>
        <w:t>2022年沧州临港经济技术开发区</w:t>
      </w:r>
      <w:bookmarkEnd w:id="67"/>
      <w:bookmarkEnd w:id="68"/>
      <w:bookmarkEnd w:id="69"/>
    </w:p>
    <w:p>
      <w:pPr>
        <w:pStyle w:val="2"/>
        <w:rPr>
          <w:rStyle w:val="20"/>
          <w:rFonts w:ascii="方正小标宋简体" w:hAnsi="方正小标宋简体" w:eastAsia="方正小标宋简体" w:cs="方正小标宋简体"/>
          <w:bCs w:val="0"/>
          <w:color w:val="auto"/>
          <w:szCs w:val="52"/>
          <w:u w:val="none"/>
        </w:rPr>
      </w:pPr>
      <w:bookmarkStart w:id="70" w:name="_Toc91439477"/>
      <w:bookmarkStart w:id="71" w:name="_Toc91771935"/>
      <w:bookmarkStart w:id="72" w:name="_Toc91510399"/>
      <w:r>
        <w:rPr>
          <w:rStyle w:val="20"/>
          <w:rFonts w:hint="eastAsia" w:ascii="方正小标宋简体" w:hAnsi="方正小标宋简体" w:eastAsia="方正小标宋简体" w:cs="方正小标宋简体"/>
          <w:bCs w:val="0"/>
          <w:color w:val="auto"/>
          <w:szCs w:val="52"/>
          <w:u w:val="none"/>
        </w:rPr>
        <w:t>社会保险基金预算（草案）</w:t>
      </w:r>
      <w:bookmarkEnd w:id="55"/>
      <w:bookmarkEnd w:id="56"/>
      <w:bookmarkEnd w:id="70"/>
      <w:bookmarkEnd w:id="71"/>
      <w:bookmarkEnd w:id="72"/>
    </w:p>
    <w:p>
      <w:pPr>
        <w:pStyle w:val="4"/>
        <w:jc w:val="center"/>
        <w:rPr>
          <w:rFonts w:ascii="仿宋_GB2312" w:eastAsia="仿宋_GB2312"/>
          <w:color w:val="000000" w:themeColor="text1"/>
        </w:rPr>
      </w:pPr>
      <w:bookmarkStart w:id="73" w:name="_Toc500947605"/>
      <w:bookmarkStart w:id="74" w:name="_Toc64555286"/>
    </w:p>
    <w:p>
      <w:pPr>
        <w:pStyle w:val="4"/>
        <w:jc w:val="center"/>
        <w:rPr>
          <w:rFonts w:ascii="仿宋_GB2312" w:eastAsia="仿宋_GB2312"/>
          <w:color w:val="000000" w:themeColor="text1"/>
        </w:rPr>
      </w:pPr>
    </w:p>
    <w:p>
      <w:pPr>
        <w:pStyle w:val="4"/>
        <w:jc w:val="center"/>
        <w:rPr>
          <w:rFonts w:ascii="仿宋_GB2312" w:eastAsia="仿宋_GB2312"/>
          <w:color w:val="000000" w:themeColor="text1"/>
        </w:rPr>
      </w:pPr>
    </w:p>
    <w:p>
      <w:pPr>
        <w:rPr>
          <w:rFonts w:ascii="仿宋_GB2312" w:eastAsia="仿宋_GB2312"/>
          <w:b/>
          <w:bCs/>
          <w:color w:val="000000" w:themeColor="text1"/>
          <w:sz w:val="32"/>
          <w:szCs w:val="32"/>
        </w:rPr>
      </w:pPr>
    </w:p>
    <w:p>
      <w:pPr>
        <w:rPr>
          <w:rFonts w:ascii="仿宋_GB2312" w:eastAsia="仿宋_GB2312"/>
          <w:b/>
          <w:bCs/>
          <w:color w:val="000000" w:themeColor="text1"/>
          <w:sz w:val="32"/>
          <w:szCs w:val="32"/>
        </w:rPr>
      </w:pPr>
    </w:p>
    <w:bookmarkEnd w:id="73"/>
    <w:bookmarkEnd w:id="74"/>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根据《预算法》、《社会保险法》和《关于试行社会保险基金预算的意见》（国发〔2010〕2号）有关规定，编制2022年沧州临港经济技术开发区社会保险基金预算。现将基金预算编制情况说明如下：</w:t>
      </w:r>
    </w:p>
    <w:p>
      <w:pPr>
        <w:pStyle w:val="5"/>
        <w:spacing w:line="560" w:lineRule="exact"/>
        <w:ind w:firstLine="602" w:firstLineChars="200"/>
        <w:rPr>
          <w:rFonts w:ascii="仿宋_GB2312" w:eastAsia="仿宋_GB2312"/>
          <w:b/>
          <w:sz w:val="30"/>
          <w:szCs w:val="30"/>
        </w:rPr>
      </w:pPr>
      <w:bookmarkStart w:id="75" w:name="_Toc3515_WPSOffice_Level1"/>
      <w:bookmarkStart w:id="76" w:name="_Toc59110769"/>
      <w:r>
        <w:rPr>
          <w:rFonts w:hint="eastAsia" w:ascii="仿宋_GB2312" w:eastAsia="仿宋_GB2312"/>
          <w:b/>
          <w:sz w:val="30"/>
          <w:szCs w:val="30"/>
        </w:rPr>
        <w:t>一、 社会保险基金预算编制范围和内容</w:t>
      </w:r>
      <w:bookmarkEnd w:id="75"/>
      <w:bookmarkEnd w:id="76"/>
    </w:p>
    <w:p>
      <w:pPr>
        <w:spacing w:line="560" w:lineRule="exact"/>
        <w:ind w:firstLine="600" w:firstLineChars="200"/>
        <w:rPr>
          <w:rFonts w:ascii="仿宋_GB2312" w:eastAsia="仿宋_GB2312"/>
          <w:sz w:val="30"/>
          <w:szCs w:val="30"/>
        </w:rPr>
      </w:pPr>
      <w:r>
        <w:rPr>
          <w:rFonts w:hint="eastAsia" w:ascii="仿宋_GB2312" w:eastAsia="仿宋_GB2312"/>
          <w:sz w:val="30"/>
          <w:szCs w:val="30"/>
        </w:rPr>
        <w:t>社会保险基金预算是对社会保险缴款、一般公共预算安排和其他方式筹集的资金，专项用于社会保险的收支预算。社会保险基金预算按照统筹层次和社会保险项目分别编制，做到收支平衡。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社会保险基金预算分险种按统筹级次分别编制，我区编制机关事业单位养老保险基金。根据社会保险基金预算收支科目，收入预算主要包括保险费收入及上级补助收入，支出预算主要包括基本待遇支出和社会保险基金本年结余。</w:t>
      </w:r>
    </w:p>
    <w:p>
      <w:pPr>
        <w:pStyle w:val="5"/>
        <w:spacing w:line="560" w:lineRule="exact"/>
        <w:ind w:firstLine="602" w:firstLineChars="200"/>
        <w:rPr>
          <w:rFonts w:ascii="仿宋_GB2312" w:eastAsia="仿宋_GB2312"/>
          <w:b/>
          <w:sz w:val="30"/>
          <w:szCs w:val="30"/>
        </w:rPr>
      </w:pPr>
      <w:bookmarkStart w:id="77" w:name="_Toc26061_WPSOffice_Level1"/>
      <w:r>
        <w:rPr>
          <w:rFonts w:hint="eastAsia" w:ascii="仿宋_GB2312" w:eastAsia="仿宋_GB2312"/>
          <w:b/>
          <w:sz w:val="30"/>
          <w:szCs w:val="30"/>
        </w:rPr>
        <w:t>机关事业单位养老保险基金</w:t>
      </w:r>
      <w:bookmarkEnd w:id="77"/>
    </w:p>
    <w:p>
      <w:pPr>
        <w:spacing w:line="560" w:lineRule="exact"/>
        <w:ind w:firstLine="600" w:firstLineChars="200"/>
        <w:rPr>
          <w:rFonts w:ascii="仿宋_GB2312" w:eastAsia="仿宋_GB2312"/>
          <w:sz w:val="30"/>
          <w:szCs w:val="30"/>
        </w:rPr>
      </w:pPr>
      <w:r>
        <w:rPr>
          <w:rFonts w:hint="eastAsia" w:ascii="仿宋_GB2312" w:eastAsia="仿宋_GB2312"/>
          <w:sz w:val="30"/>
          <w:szCs w:val="30"/>
        </w:rPr>
        <w:t>机关事业单位养老保险制度改革自2014年10月1日起执行。公务员、参公人员和事业编制工作人员参加机关事业单位基本养老保险，单位和个人按比例缴纳保险费用，在达到法定退休年龄退休后，按规定领取退休金。</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单位缴费比例为本单位参加机关事业单位养老保险工作人员的个人缴费工资基数之和的16%个人缴费比例为本人缴费工资的8%。个人缴费工资基数按照全省上年度在岗职工平均工资的300%封顶、60%托底。机关单位（含参公管理单位）的个人缴费工资基数为本人上年度工资收入中的基本工资、国家统一的津贴补贴、规范后的津贴补贴、年终一次性奖金等。事业单位工作人员的个人缴费工资基数为本人上年度工资收入中的基本工资、国家统一的津贴补贴、绩效工资等。其他项目暂不纳入个人缴费工资基数。</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在改革基本养老保险制度的同时，为机关事业单位改革范围内的工作人员(不包括已退休人员)建立职业年金。资金来源由两部分构成：单位按8%缴纳，个人按4%缴纳，职业年金缴费基数与机关事业单位基本养老保险缴费基数一致，两部分资金构成的职业年金基金实行个人账户管理。工作人员退休时，依据其职业年金积累情况和相关约定按月领取职业年金待遇。</w:t>
      </w:r>
    </w:p>
    <w:p>
      <w:pPr>
        <w:pStyle w:val="5"/>
        <w:spacing w:line="560" w:lineRule="exact"/>
        <w:ind w:firstLine="602" w:firstLineChars="200"/>
        <w:rPr>
          <w:rFonts w:ascii="仿宋_GB2312" w:eastAsia="仿宋_GB2312"/>
          <w:b/>
          <w:sz w:val="30"/>
          <w:szCs w:val="30"/>
        </w:rPr>
      </w:pPr>
      <w:bookmarkStart w:id="78" w:name="_Toc59110770"/>
      <w:bookmarkStart w:id="79" w:name="_Toc18700_WPSOffice_Level1"/>
      <w:r>
        <w:rPr>
          <w:rFonts w:hint="eastAsia" w:ascii="仿宋_GB2312" w:eastAsia="仿宋_GB2312"/>
          <w:b/>
          <w:sz w:val="30"/>
          <w:szCs w:val="30"/>
        </w:rPr>
        <w:t>二、社会保险基金预算编制原则</w:t>
      </w:r>
      <w:bookmarkEnd w:id="78"/>
      <w:bookmarkEnd w:id="79"/>
    </w:p>
    <w:p>
      <w:pPr>
        <w:spacing w:line="560" w:lineRule="exact"/>
        <w:ind w:firstLine="600" w:firstLineChars="200"/>
        <w:rPr>
          <w:rFonts w:ascii="仿宋_GB2312" w:eastAsia="仿宋_GB2312"/>
          <w:sz w:val="30"/>
          <w:szCs w:val="30"/>
        </w:rPr>
      </w:pPr>
      <w:r>
        <w:rPr>
          <w:rFonts w:hint="eastAsia" w:ascii="仿宋_GB2312" w:eastAsia="仿宋_GB2312"/>
          <w:sz w:val="30"/>
          <w:szCs w:val="30"/>
        </w:rPr>
        <w:t>社会保险基金预算编制主要按照以下五个原则进行：</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（一）依法编制，规范统一。</w:t>
      </w:r>
      <w:r>
        <w:rPr>
          <w:rFonts w:hint="eastAsia" w:ascii="仿宋_GB2312" w:eastAsia="仿宋_GB2312"/>
          <w:sz w:val="30"/>
          <w:szCs w:val="30"/>
        </w:rPr>
        <w:t>预算编制严格按照国家法律法规以及国家社会保险政策规定的范围、程序、方法和内容进行；全省统一运用社会保险基金软件编报预算，提高预算编报的信息化水平，确保预算编制及时、准确、有效。</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（二）统筹协调，明确责任。</w:t>
      </w:r>
      <w:r>
        <w:rPr>
          <w:rFonts w:hint="eastAsia" w:ascii="仿宋_GB2312" w:eastAsia="仿宋_GB2312"/>
          <w:sz w:val="30"/>
          <w:szCs w:val="30"/>
        </w:rPr>
        <w:t>新区社会保险基金预算编制工作由财政部门牵头，人社、卫生部门积极配合，统一部署，协调推进。各部门责任明确，分工有序，确保编报工作稳妥进行。</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（三）专项基金，专款专用。</w:t>
      </w:r>
      <w:r>
        <w:rPr>
          <w:rFonts w:hint="eastAsia" w:ascii="仿宋_GB2312" w:eastAsia="仿宋_GB2312"/>
          <w:sz w:val="30"/>
          <w:szCs w:val="30"/>
        </w:rPr>
        <w:t>社会保险各项基金预算严格按照有关法律法规规范收支内容、标准和范围，专款专用，不得挤占或挪作他用。</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（四）相对独立，有机衔接。</w:t>
      </w:r>
      <w:r>
        <w:rPr>
          <w:rFonts w:hint="eastAsia" w:ascii="仿宋_GB2312" w:eastAsia="仿宋_GB2312"/>
          <w:sz w:val="30"/>
          <w:szCs w:val="30"/>
        </w:rPr>
        <w:t>社会保险基金预算单独编报，与一般公共预算相对独立、有机衔接。社会保险基金不能用于平衡一般公共预算，一般公共预算可补助社会保险基金预算。</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（五）收支平衡，留有结余。</w:t>
      </w:r>
      <w:r>
        <w:rPr>
          <w:rFonts w:hint="eastAsia" w:ascii="仿宋_GB2312" w:eastAsia="仿宋_GB2312"/>
          <w:sz w:val="30"/>
          <w:szCs w:val="30"/>
        </w:rPr>
        <w:t>社会保险基金预算坚持收支平衡，适当留有结余。</w:t>
      </w:r>
    </w:p>
    <w:p>
      <w:pPr>
        <w:pStyle w:val="3"/>
        <w:rPr>
          <w:rStyle w:val="20"/>
          <w:rFonts w:ascii="方正小标宋简体" w:hAnsi="方正小标宋简体" w:eastAsia="方正小标宋简体" w:cs="方正小标宋简体"/>
          <w:bCs w:val="0"/>
          <w:color w:val="auto"/>
          <w:kern w:val="44"/>
          <w:szCs w:val="36"/>
          <w:u w:val="none"/>
        </w:rPr>
      </w:pPr>
      <w:bookmarkStart w:id="80" w:name="_Toc91771936"/>
      <w:bookmarkStart w:id="81" w:name="_Toc59110772"/>
      <w:bookmarkStart w:id="82" w:name="_Toc31388_WPSOffice_Level1"/>
      <w:r>
        <w:rPr>
          <w:rStyle w:val="20"/>
          <w:rFonts w:hint="eastAsia" w:ascii="方正小标宋简体" w:hAnsi="方正小标宋简体" w:eastAsia="方正小标宋简体" w:cs="方正小标宋简体"/>
          <w:bCs w:val="0"/>
          <w:color w:val="auto"/>
          <w:kern w:val="44"/>
          <w:szCs w:val="36"/>
          <w:u w:val="none"/>
        </w:rPr>
        <w:t>§1   2022年社会保险基金预算基本情况</w:t>
      </w:r>
      <w:bookmarkEnd w:id="80"/>
      <w:bookmarkEnd w:id="81"/>
      <w:bookmarkEnd w:id="82"/>
    </w:p>
    <w:p>
      <w:pPr>
        <w:spacing w:line="540" w:lineRule="exact"/>
        <w:ind w:firstLine="600" w:firstLineChars="200"/>
        <w:rPr>
          <w:rFonts w:ascii="仿宋_GB2312" w:eastAsia="仿宋_GB2312"/>
          <w:sz w:val="30"/>
          <w:szCs w:val="30"/>
        </w:rPr>
      </w:pPr>
      <w:r>
        <w:rPr>
          <w:rFonts w:hint="eastAsia" w:ascii="仿宋_GB2312" w:eastAsia="仿宋_GB2312"/>
          <w:sz w:val="30"/>
          <w:szCs w:val="30"/>
        </w:rPr>
        <w:t>2022年沧州临港经济技术开发区机关事业单位养老保险基金预算。</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2022年社会保险基金收入预算378万元，上级补助收入3万元。当年支出预算33万元，年终新增结余348万元。具体情况如下：</w:t>
      </w:r>
    </w:p>
    <w:p>
      <w:pPr>
        <w:spacing w:line="540" w:lineRule="exact"/>
        <w:ind w:firstLine="602" w:firstLineChars="200"/>
        <w:rPr>
          <w:rFonts w:ascii="仿宋_GB2312" w:eastAsia="仿宋_GB2312"/>
          <w:b/>
          <w:sz w:val="30"/>
          <w:szCs w:val="30"/>
        </w:rPr>
      </w:pPr>
      <w:bookmarkStart w:id="83" w:name="_Toc1078_WPSOffice_Level1"/>
      <w:r>
        <w:rPr>
          <w:rFonts w:hint="eastAsia" w:ascii="仿宋_GB2312" w:eastAsia="仿宋_GB2312"/>
          <w:b/>
          <w:sz w:val="30"/>
          <w:szCs w:val="30"/>
        </w:rPr>
        <w:t>机关事业单位养老保险基金</w:t>
      </w:r>
      <w:bookmarkEnd w:id="83"/>
    </w:p>
    <w:p>
      <w:pPr>
        <w:spacing w:line="540" w:lineRule="exact"/>
        <w:ind w:firstLine="600" w:firstLineChars="200"/>
        <w:rPr>
          <w:rFonts w:ascii="仿宋_GB2312" w:eastAsia="仿宋_GB2312"/>
          <w:sz w:val="30"/>
          <w:szCs w:val="30"/>
        </w:rPr>
      </w:pPr>
      <w:r>
        <w:rPr>
          <w:rFonts w:hint="eastAsia" w:ascii="仿宋_GB2312" w:eastAsia="仿宋_GB2312"/>
          <w:sz w:val="30"/>
          <w:szCs w:val="30"/>
        </w:rPr>
        <w:t>机关事业单位养老保险和职业年金实行省级统筹，设定省级统筹过渡期，基金暂不上收，由市、县分别管理。2022年，沧州临港经济技术开发区机关养老保险参保人数预计为266人,其中：在职职工260人,退休、退职人员6人。</w:t>
      </w:r>
    </w:p>
    <w:p>
      <w:pPr>
        <w:spacing w:line="540" w:lineRule="exact"/>
        <w:ind w:firstLine="640" w:firstLineChars="200"/>
        <w:rPr>
          <w:rFonts w:ascii="仿宋_GB2312" w:eastAsia="仿宋_GB2312"/>
          <w:color w:val="000000"/>
          <w:sz w:val="32"/>
          <w:szCs w:val="32"/>
        </w:rPr>
      </w:pPr>
    </w:p>
    <w:p>
      <w:pPr>
        <w:pStyle w:val="3"/>
        <w:rPr>
          <w:rStyle w:val="20"/>
          <w:rFonts w:ascii="方正小标宋简体" w:hAnsi="方正小标宋简体" w:eastAsia="方正小标宋简体" w:cs="方正小标宋简体"/>
          <w:bCs w:val="0"/>
          <w:color w:val="auto"/>
          <w:kern w:val="44"/>
          <w:szCs w:val="36"/>
          <w:u w:val="none"/>
        </w:rPr>
      </w:pPr>
    </w:p>
    <w:p>
      <w:pPr>
        <w:pStyle w:val="3"/>
        <w:rPr>
          <w:rStyle w:val="20"/>
          <w:rFonts w:ascii="方正小标宋简体" w:hAnsi="方正小标宋简体" w:eastAsia="方正小标宋简体" w:cs="方正小标宋简体"/>
          <w:bCs w:val="0"/>
          <w:color w:val="auto"/>
          <w:kern w:val="44"/>
          <w:szCs w:val="36"/>
          <w:u w:val="none"/>
        </w:rPr>
      </w:pPr>
    </w:p>
    <w:p>
      <w:pPr>
        <w:pStyle w:val="3"/>
        <w:rPr>
          <w:rStyle w:val="20"/>
          <w:rFonts w:ascii="方正小标宋简体" w:hAnsi="方正小标宋简体" w:eastAsia="方正小标宋简体" w:cs="方正小标宋简体"/>
          <w:bCs w:val="0"/>
          <w:color w:val="auto"/>
          <w:kern w:val="44"/>
          <w:szCs w:val="36"/>
          <w:u w:val="none"/>
        </w:rPr>
      </w:pPr>
    </w:p>
    <w:p>
      <w:pPr>
        <w:pStyle w:val="3"/>
        <w:rPr>
          <w:rStyle w:val="20"/>
          <w:rFonts w:ascii="方正小标宋简体" w:hAnsi="方正小标宋简体" w:eastAsia="方正小标宋简体" w:cs="方正小标宋简体"/>
          <w:bCs w:val="0"/>
          <w:color w:val="auto"/>
          <w:kern w:val="44"/>
          <w:szCs w:val="36"/>
          <w:u w:val="none"/>
        </w:rPr>
      </w:pPr>
    </w:p>
    <w:p>
      <w:pPr>
        <w:pStyle w:val="3"/>
        <w:rPr>
          <w:rStyle w:val="20"/>
          <w:rFonts w:ascii="方正小标宋简体" w:hAnsi="方正小标宋简体" w:eastAsia="方正小标宋简体" w:cs="方正小标宋简体"/>
          <w:bCs w:val="0"/>
          <w:color w:val="auto"/>
          <w:kern w:val="44"/>
          <w:szCs w:val="36"/>
          <w:u w:val="none"/>
        </w:rPr>
      </w:pPr>
    </w:p>
    <w:p/>
    <w:p>
      <w:pPr>
        <w:pStyle w:val="3"/>
        <w:rPr>
          <w:rStyle w:val="20"/>
          <w:rFonts w:ascii="方正小标宋简体" w:hAnsi="方正小标宋简体" w:eastAsia="方正小标宋简体" w:cs="方正小标宋简体"/>
          <w:bCs w:val="0"/>
          <w:color w:val="auto"/>
          <w:kern w:val="44"/>
          <w:szCs w:val="36"/>
          <w:u w:val="none"/>
        </w:rPr>
      </w:pPr>
      <w:bookmarkStart w:id="84" w:name="_Toc91771937"/>
      <w:r>
        <w:rPr>
          <w:rStyle w:val="20"/>
          <w:rFonts w:hint="eastAsia" w:ascii="方正小标宋简体" w:hAnsi="方正小标宋简体" w:eastAsia="方正小标宋简体" w:cs="方正小标宋简体"/>
          <w:bCs w:val="0"/>
          <w:color w:val="auto"/>
          <w:kern w:val="44"/>
          <w:szCs w:val="36"/>
          <w:u w:val="none"/>
        </w:rPr>
        <w:t>§2  2022年社会保险基金收支预算平衡表</w:t>
      </w:r>
      <w:bookmarkEnd w:id="84"/>
    </w:p>
    <w:p>
      <w:pPr>
        <w:spacing w:line="360" w:lineRule="auto"/>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单位：万元</w:t>
      </w:r>
    </w:p>
    <w:tbl>
      <w:tblPr>
        <w:tblStyle w:val="15"/>
        <w:tblW w:w="8700" w:type="dxa"/>
        <w:tblInd w:w="93" w:type="dxa"/>
        <w:tblLayout w:type="autofit"/>
        <w:tblCellMar>
          <w:top w:w="0" w:type="dxa"/>
          <w:left w:w="108" w:type="dxa"/>
          <w:bottom w:w="0" w:type="dxa"/>
          <w:right w:w="108" w:type="dxa"/>
        </w:tblCellMar>
      </w:tblPr>
      <w:tblGrid>
        <w:gridCol w:w="2460"/>
        <w:gridCol w:w="1040"/>
        <w:gridCol w:w="1040"/>
        <w:gridCol w:w="1040"/>
        <w:gridCol w:w="1040"/>
        <w:gridCol w:w="1040"/>
        <w:gridCol w:w="1040"/>
      </w:tblGrid>
      <w:tr>
        <w:tblPrEx>
          <w:tblCellMar>
            <w:top w:w="0" w:type="dxa"/>
            <w:left w:w="108" w:type="dxa"/>
            <w:bottom w:w="0" w:type="dxa"/>
            <w:right w:w="108" w:type="dxa"/>
          </w:tblCellMar>
        </w:tblPrEx>
        <w:trPr>
          <w:trHeight w:val="600" w:hRule="atLeast"/>
        </w:trPr>
        <w:tc>
          <w:tcPr>
            <w:tcW w:w="2460" w:type="dxa"/>
            <w:vMerge w:val="restart"/>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项  目</w:t>
            </w:r>
          </w:p>
        </w:tc>
        <w:tc>
          <w:tcPr>
            <w:tcW w:w="3120" w:type="dxa"/>
            <w:gridSpan w:val="3"/>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收入预算</w:t>
            </w:r>
          </w:p>
        </w:tc>
        <w:tc>
          <w:tcPr>
            <w:tcW w:w="3120"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支出预算</w:t>
            </w:r>
          </w:p>
        </w:tc>
      </w:tr>
      <w:tr>
        <w:tblPrEx>
          <w:tblCellMar>
            <w:top w:w="0" w:type="dxa"/>
            <w:left w:w="108" w:type="dxa"/>
            <w:bottom w:w="0" w:type="dxa"/>
            <w:right w:w="108" w:type="dxa"/>
          </w:tblCellMar>
        </w:tblPrEx>
        <w:trPr>
          <w:trHeight w:val="600" w:hRule="atLeast"/>
        </w:trPr>
        <w:tc>
          <w:tcPr>
            <w:tcW w:w="2460"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仿宋_GB2312" w:hAnsi="仿宋_GB2312" w:cs="宋体"/>
                <w:b/>
                <w:bCs/>
                <w:color w:val="000000"/>
                <w:kern w:val="0"/>
                <w:sz w:val="24"/>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合计</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当年收入</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省级以上补助</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合计</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当年支出</w:t>
            </w:r>
          </w:p>
        </w:tc>
        <w:tc>
          <w:tcPr>
            <w:tcW w:w="104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仿宋_GB2312" w:cs="宋体"/>
                <w:b/>
                <w:bCs/>
                <w:color w:val="000000"/>
                <w:kern w:val="0"/>
                <w:sz w:val="24"/>
              </w:rPr>
            </w:pPr>
            <w:r>
              <w:rPr>
                <w:rFonts w:ascii="仿宋_GB2312" w:hAnsi="仿宋_GB2312" w:cs="宋体"/>
                <w:b/>
                <w:bCs/>
                <w:color w:val="000000"/>
                <w:kern w:val="0"/>
                <w:sz w:val="24"/>
              </w:rPr>
              <w:t>年终新增结余</w:t>
            </w:r>
          </w:p>
        </w:tc>
      </w:tr>
      <w:tr>
        <w:tblPrEx>
          <w:tblCellMar>
            <w:top w:w="0" w:type="dxa"/>
            <w:left w:w="108" w:type="dxa"/>
            <w:bottom w:w="0" w:type="dxa"/>
            <w:right w:w="108" w:type="dxa"/>
          </w:tblCellMar>
        </w:tblPrEx>
        <w:trPr>
          <w:trHeight w:val="600" w:hRule="atLeast"/>
        </w:trPr>
        <w:tc>
          <w:tcPr>
            <w:tcW w:w="24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合  计</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381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378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381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33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348 </w:t>
            </w:r>
          </w:p>
        </w:tc>
      </w:tr>
      <w:tr>
        <w:tblPrEx>
          <w:tblCellMar>
            <w:top w:w="0" w:type="dxa"/>
            <w:left w:w="108" w:type="dxa"/>
            <w:bottom w:w="0" w:type="dxa"/>
            <w:right w:w="108" w:type="dxa"/>
          </w:tblCellMar>
        </w:tblPrEx>
        <w:trPr>
          <w:trHeight w:val="600" w:hRule="atLeast"/>
        </w:trPr>
        <w:tc>
          <w:tcPr>
            <w:tcW w:w="24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一、城乡居民基本养老保险基金</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c>
          <w:tcPr>
            <w:tcW w:w="104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w:t>
            </w:r>
          </w:p>
        </w:tc>
      </w:tr>
      <w:tr>
        <w:tblPrEx>
          <w:tblCellMar>
            <w:top w:w="0" w:type="dxa"/>
            <w:left w:w="108" w:type="dxa"/>
            <w:bottom w:w="0" w:type="dxa"/>
            <w:right w:w="108" w:type="dxa"/>
          </w:tblCellMar>
        </w:tblPrEx>
        <w:trPr>
          <w:trHeight w:val="600" w:hRule="atLeast"/>
        </w:trPr>
        <w:tc>
          <w:tcPr>
            <w:tcW w:w="246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二、机关事业单位基本养老保险基金</w:t>
            </w:r>
          </w:p>
        </w:tc>
        <w:tc>
          <w:tcPr>
            <w:tcW w:w="104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381 </w:t>
            </w:r>
          </w:p>
        </w:tc>
        <w:tc>
          <w:tcPr>
            <w:tcW w:w="104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378 </w:t>
            </w:r>
          </w:p>
        </w:tc>
        <w:tc>
          <w:tcPr>
            <w:tcW w:w="104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 </w:t>
            </w:r>
          </w:p>
        </w:tc>
        <w:tc>
          <w:tcPr>
            <w:tcW w:w="104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381 </w:t>
            </w:r>
          </w:p>
        </w:tc>
        <w:tc>
          <w:tcPr>
            <w:tcW w:w="104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33 </w:t>
            </w:r>
          </w:p>
        </w:tc>
        <w:tc>
          <w:tcPr>
            <w:tcW w:w="104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仿宋_GB2312" w:cs="宋体"/>
                <w:color w:val="000000"/>
                <w:kern w:val="0"/>
                <w:sz w:val="24"/>
              </w:rPr>
            </w:pPr>
            <w:r>
              <w:rPr>
                <w:rFonts w:ascii="仿宋_GB2312" w:hAnsi="仿宋_GB2312" w:cs="宋体"/>
                <w:color w:val="000000"/>
                <w:kern w:val="0"/>
                <w:sz w:val="24"/>
              </w:rPr>
              <w:t xml:space="preserve">    348 </w:t>
            </w:r>
          </w:p>
        </w:tc>
      </w:tr>
    </w:tbl>
    <w:p>
      <w:pPr>
        <w:rPr>
          <w:rFonts w:ascii="方正小标宋简体" w:hAnsi="方正小标宋简体" w:eastAsia="方正小标宋简体" w:cs="方正小标宋简体"/>
          <w:b/>
          <w:color w:val="000000"/>
          <w:sz w:val="36"/>
          <w:szCs w:val="36"/>
        </w:rPr>
      </w:pPr>
    </w:p>
    <w:p>
      <w:pPr>
        <w:pStyle w:val="3"/>
        <w:rPr>
          <w:rFonts w:ascii="方正小标宋简体" w:hAnsi="方正小标宋简体" w:eastAsia="方正小标宋简体" w:cs="方正小标宋简体"/>
          <w:bCs w:val="0"/>
          <w:color w:val="000000"/>
          <w:szCs w:val="36"/>
        </w:rPr>
      </w:pPr>
    </w:p>
    <w:p>
      <w:pPr>
        <w:pStyle w:val="3"/>
        <w:rPr>
          <w:rStyle w:val="20"/>
          <w:rFonts w:ascii="方正小标宋简体" w:hAnsi="方正小标宋简体" w:eastAsia="方正小标宋简体" w:cs="方正小标宋简体"/>
          <w:bCs w:val="0"/>
          <w:color w:val="auto"/>
          <w:kern w:val="44"/>
          <w:szCs w:val="36"/>
          <w:u w:val="none"/>
        </w:rPr>
      </w:pPr>
      <w:bookmarkStart w:id="85" w:name="_Toc91771938"/>
      <w:r>
        <w:rPr>
          <w:rStyle w:val="20"/>
          <w:rFonts w:hint="eastAsia" w:ascii="方正小标宋简体" w:hAnsi="方正小标宋简体" w:eastAsia="方正小标宋简体" w:cs="方正小标宋简体"/>
          <w:bCs w:val="0"/>
          <w:color w:val="auto"/>
          <w:kern w:val="44"/>
          <w:szCs w:val="36"/>
          <w:u w:val="none"/>
        </w:rPr>
        <w:t>§3  2022年社会保险基金收入预算安排情况表</w:t>
      </w:r>
      <w:bookmarkEnd w:id="85"/>
    </w:p>
    <w:p>
      <w:pPr>
        <w:spacing w:line="360" w:lineRule="auto"/>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单位：万元</w:t>
      </w:r>
    </w:p>
    <w:tbl>
      <w:tblPr>
        <w:tblStyle w:val="15"/>
        <w:tblW w:w="8720" w:type="dxa"/>
        <w:tblInd w:w="93" w:type="dxa"/>
        <w:tblLayout w:type="autofit"/>
        <w:tblCellMar>
          <w:top w:w="0" w:type="dxa"/>
          <w:left w:w="108" w:type="dxa"/>
          <w:bottom w:w="0" w:type="dxa"/>
          <w:right w:w="108" w:type="dxa"/>
        </w:tblCellMar>
      </w:tblPr>
      <w:tblGrid>
        <w:gridCol w:w="1540"/>
        <w:gridCol w:w="5860"/>
        <w:gridCol w:w="1320"/>
      </w:tblGrid>
      <w:tr>
        <w:tblPrEx>
          <w:tblCellMar>
            <w:top w:w="0" w:type="dxa"/>
            <w:left w:w="108" w:type="dxa"/>
            <w:bottom w:w="0" w:type="dxa"/>
            <w:right w:w="108" w:type="dxa"/>
          </w:tblCellMar>
        </w:tblPrEx>
        <w:trPr>
          <w:trHeight w:val="402" w:hRule="atLeast"/>
        </w:trPr>
        <w:tc>
          <w:tcPr>
            <w:tcW w:w="154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科目代码</w:t>
            </w:r>
          </w:p>
        </w:tc>
        <w:tc>
          <w:tcPr>
            <w:tcW w:w="586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科目名称</w:t>
            </w:r>
          </w:p>
        </w:tc>
        <w:tc>
          <w:tcPr>
            <w:tcW w:w="13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金额</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　</w:t>
            </w:r>
          </w:p>
        </w:tc>
        <w:tc>
          <w:tcPr>
            <w:tcW w:w="58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Cs w:val="21"/>
              </w:rPr>
            </w:pPr>
            <w:r>
              <w:rPr>
                <w:rFonts w:ascii="仿宋_GB2312" w:hAnsi="仿宋_GB2312" w:cs="宋体"/>
                <w:color w:val="000000"/>
                <w:kern w:val="0"/>
                <w:szCs w:val="21"/>
              </w:rPr>
              <w:t>合    计</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381</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102</w:t>
            </w:r>
          </w:p>
        </w:tc>
        <w:tc>
          <w:tcPr>
            <w:tcW w:w="586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社会保险基金收入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378</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Cs w:val="21"/>
              </w:rPr>
            </w:pPr>
            <w:r>
              <w:rPr>
                <w:rFonts w:ascii="仿宋_GB2312" w:hAnsi="仿宋_GB2312" w:cs="宋体"/>
                <w:color w:val="000000"/>
                <w:kern w:val="0"/>
                <w:szCs w:val="21"/>
              </w:rPr>
              <w:t>10211</w:t>
            </w:r>
          </w:p>
        </w:tc>
        <w:tc>
          <w:tcPr>
            <w:tcW w:w="586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 xml:space="preserve">   机关事业单位基本养老保险基金收入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378</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1021101</w:t>
            </w:r>
          </w:p>
        </w:tc>
        <w:tc>
          <w:tcPr>
            <w:tcW w:w="58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仿宋_GB2312" w:cs="宋体"/>
                <w:color w:val="000000"/>
                <w:kern w:val="0"/>
                <w:szCs w:val="21"/>
              </w:rPr>
            </w:pPr>
            <w:r>
              <w:rPr>
                <w:rFonts w:ascii="仿宋_GB2312" w:hAnsi="仿宋_GB2312" w:cs="宋体"/>
                <w:color w:val="000000"/>
                <w:kern w:val="0"/>
                <w:szCs w:val="21"/>
              </w:rPr>
              <w:t xml:space="preserve">        机关事业单位基本养老保险费收入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374</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1021103</w:t>
            </w:r>
          </w:p>
        </w:tc>
        <w:tc>
          <w:tcPr>
            <w:tcW w:w="58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仿宋_GB2312" w:cs="宋体"/>
                <w:color w:val="000000"/>
                <w:kern w:val="0"/>
                <w:szCs w:val="21"/>
              </w:rPr>
            </w:pPr>
            <w:r>
              <w:rPr>
                <w:rFonts w:ascii="仿宋_GB2312" w:hAnsi="仿宋_GB2312" w:cs="宋体"/>
                <w:color w:val="000000"/>
                <w:kern w:val="0"/>
                <w:szCs w:val="21"/>
              </w:rPr>
              <w:t xml:space="preserve">        机关事业单位基本养老保险基金利息收入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4</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110</w:t>
            </w:r>
          </w:p>
        </w:tc>
        <w:tc>
          <w:tcPr>
            <w:tcW w:w="586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Cs w:val="21"/>
              </w:rPr>
            </w:pPr>
            <w:r>
              <w:rPr>
                <w:rFonts w:ascii="仿宋_GB2312" w:hAnsi="仿宋_GB2312" w:cs="宋体"/>
                <w:color w:val="000000"/>
                <w:kern w:val="0"/>
                <w:szCs w:val="21"/>
              </w:rPr>
              <w:t>转移性收入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Cs w:val="21"/>
              </w:rPr>
            </w:pPr>
            <w:r>
              <w:rPr>
                <w:rFonts w:ascii="仿宋_GB2312" w:hAnsi="仿宋_GB2312" w:cs="宋体"/>
                <w:color w:val="000000"/>
                <w:kern w:val="0"/>
                <w:szCs w:val="21"/>
              </w:rPr>
              <w:t>11017</w:t>
            </w:r>
          </w:p>
        </w:tc>
        <w:tc>
          <w:tcPr>
            <w:tcW w:w="58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仿宋_GB2312" w:cs="宋体"/>
                <w:color w:val="000000"/>
                <w:kern w:val="0"/>
                <w:szCs w:val="21"/>
              </w:rPr>
            </w:pPr>
            <w:r>
              <w:rPr>
                <w:rFonts w:ascii="仿宋_GB2312" w:hAnsi="仿宋_GB2312" w:cs="宋体"/>
                <w:color w:val="000000"/>
                <w:kern w:val="0"/>
                <w:szCs w:val="21"/>
              </w:rPr>
              <w:t xml:space="preserve">    社会保险基金上级补助收入</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8" w:space="0"/>
              <w:right w:val="single" w:color="auto" w:sz="4"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1101706</w:t>
            </w:r>
          </w:p>
        </w:tc>
        <w:tc>
          <w:tcPr>
            <w:tcW w:w="5860" w:type="dxa"/>
            <w:tcBorders>
              <w:top w:val="nil"/>
              <w:left w:val="nil"/>
              <w:bottom w:val="single" w:color="auto" w:sz="8" w:space="0"/>
              <w:right w:val="single" w:color="auto" w:sz="4" w:space="0"/>
            </w:tcBorders>
            <w:shd w:val="clear" w:color="auto" w:fill="auto"/>
            <w:vAlign w:val="center"/>
          </w:tcPr>
          <w:p>
            <w:pPr>
              <w:widowControl/>
              <w:jc w:val="left"/>
              <w:rPr>
                <w:rFonts w:ascii="仿宋_GB2312" w:hAnsi="仿宋_GB2312" w:cs="宋体"/>
                <w:color w:val="000000"/>
                <w:kern w:val="0"/>
                <w:szCs w:val="21"/>
              </w:rPr>
            </w:pPr>
            <w:r>
              <w:rPr>
                <w:rFonts w:ascii="仿宋_GB2312" w:hAnsi="仿宋_GB2312" w:cs="宋体"/>
                <w:color w:val="000000"/>
                <w:kern w:val="0"/>
                <w:szCs w:val="21"/>
              </w:rPr>
              <w:t xml:space="preserve">        机关事业单位基本养老保险基金补助收入</w:t>
            </w:r>
          </w:p>
        </w:tc>
        <w:tc>
          <w:tcPr>
            <w:tcW w:w="1320"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仿宋_GB2312" w:cs="宋体"/>
                <w:color w:val="000000"/>
                <w:kern w:val="0"/>
                <w:szCs w:val="21"/>
              </w:rPr>
            </w:pPr>
            <w:r>
              <w:rPr>
                <w:rFonts w:ascii="仿宋_GB2312" w:hAnsi="仿宋_GB2312" w:cs="宋体"/>
                <w:color w:val="000000"/>
                <w:kern w:val="0"/>
                <w:szCs w:val="21"/>
              </w:rPr>
              <w:t>3</w:t>
            </w:r>
          </w:p>
        </w:tc>
      </w:tr>
    </w:tbl>
    <w:p>
      <w:pPr>
        <w:ind w:firstLine="723" w:firstLineChars="200"/>
        <w:rPr>
          <w:rFonts w:ascii="方正小标宋简体" w:hAnsi="方正小标宋简体" w:eastAsia="方正小标宋简体" w:cs="方正小标宋简体"/>
          <w:b/>
          <w:color w:val="000000"/>
          <w:sz w:val="36"/>
          <w:szCs w:val="36"/>
        </w:rPr>
      </w:pPr>
    </w:p>
    <w:p>
      <w:pPr>
        <w:ind w:firstLine="723" w:firstLineChars="200"/>
        <w:rPr>
          <w:rFonts w:ascii="方正小标宋简体" w:hAnsi="方正小标宋简体" w:eastAsia="方正小标宋简体" w:cs="方正小标宋简体"/>
          <w:b/>
          <w:color w:val="000000"/>
          <w:sz w:val="36"/>
          <w:szCs w:val="36"/>
        </w:rPr>
      </w:pPr>
    </w:p>
    <w:p>
      <w:pPr>
        <w:pStyle w:val="3"/>
        <w:rPr>
          <w:rStyle w:val="20"/>
          <w:rFonts w:ascii="方正小标宋简体" w:hAnsi="方正小标宋简体" w:eastAsia="方正小标宋简体" w:cs="方正小标宋简体"/>
          <w:bCs w:val="0"/>
          <w:color w:val="auto"/>
          <w:kern w:val="44"/>
          <w:szCs w:val="36"/>
          <w:u w:val="none"/>
        </w:rPr>
      </w:pPr>
      <w:bookmarkStart w:id="86" w:name="_Toc91771939"/>
      <w:r>
        <w:rPr>
          <w:rStyle w:val="20"/>
          <w:rFonts w:hint="eastAsia" w:ascii="方正小标宋简体" w:hAnsi="方正小标宋简体" w:eastAsia="方正小标宋简体" w:cs="方正小标宋简体"/>
          <w:bCs w:val="0"/>
          <w:color w:val="auto"/>
          <w:kern w:val="44"/>
          <w:szCs w:val="36"/>
          <w:u w:val="none"/>
        </w:rPr>
        <w:t>§4  2022年社会保险基金支出预算安排情况表</w:t>
      </w:r>
      <w:bookmarkEnd w:id="86"/>
    </w:p>
    <w:p>
      <w:pPr>
        <w:spacing w:line="360" w:lineRule="auto"/>
        <w:jc w:val="right"/>
        <w:rPr>
          <w:rFonts w:ascii="仿宋_GB2312" w:eastAsia="仿宋_GB2312"/>
          <w:color w:val="000000"/>
          <w:sz w:val="28"/>
          <w:szCs w:val="28"/>
        </w:rPr>
      </w:pPr>
      <w:r>
        <w:rPr>
          <w:rFonts w:hint="eastAsia" w:ascii="仿宋_GB2312" w:hAnsi="宋体" w:eastAsia="仿宋_GB2312" w:cs="宋体"/>
          <w:color w:val="000000"/>
          <w:kern w:val="0"/>
          <w:sz w:val="28"/>
          <w:szCs w:val="28"/>
        </w:rPr>
        <w:t>单位：万元</w:t>
      </w:r>
    </w:p>
    <w:tbl>
      <w:tblPr>
        <w:tblStyle w:val="15"/>
        <w:tblW w:w="8480" w:type="dxa"/>
        <w:tblInd w:w="93" w:type="dxa"/>
        <w:tblLayout w:type="autofit"/>
        <w:tblCellMar>
          <w:top w:w="0" w:type="dxa"/>
          <w:left w:w="108" w:type="dxa"/>
          <w:bottom w:w="0" w:type="dxa"/>
          <w:right w:w="108" w:type="dxa"/>
        </w:tblCellMar>
      </w:tblPr>
      <w:tblGrid>
        <w:gridCol w:w="1540"/>
        <w:gridCol w:w="5620"/>
        <w:gridCol w:w="1320"/>
      </w:tblGrid>
      <w:tr>
        <w:tblPrEx>
          <w:tblCellMar>
            <w:top w:w="0" w:type="dxa"/>
            <w:left w:w="108" w:type="dxa"/>
            <w:bottom w:w="0" w:type="dxa"/>
            <w:right w:w="108" w:type="dxa"/>
          </w:tblCellMar>
        </w:tblPrEx>
        <w:trPr>
          <w:trHeight w:val="402" w:hRule="atLeast"/>
        </w:trPr>
        <w:tc>
          <w:tcPr>
            <w:tcW w:w="154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科目代码</w:t>
            </w:r>
          </w:p>
        </w:tc>
        <w:tc>
          <w:tcPr>
            <w:tcW w:w="56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科目名称</w:t>
            </w:r>
          </w:p>
        </w:tc>
        <w:tc>
          <w:tcPr>
            <w:tcW w:w="13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金额</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　</w:t>
            </w:r>
          </w:p>
        </w:tc>
        <w:tc>
          <w:tcPr>
            <w:tcW w:w="5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2"/>
                <w:szCs w:val="22"/>
              </w:rPr>
            </w:pPr>
            <w:r>
              <w:rPr>
                <w:rFonts w:ascii="仿宋_GB2312" w:hAnsi="仿宋_GB2312" w:cs="宋体"/>
                <w:color w:val="000000"/>
                <w:kern w:val="0"/>
                <w:sz w:val="22"/>
                <w:szCs w:val="22"/>
              </w:rPr>
              <w:t>合   计</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381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209</w:t>
            </w:r>
          </w:p>
        </w:tc>
        <w:tc>
          <w:tcPr>
            <w:tcW w:w="562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社会保险基金支出</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33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2"/>
                <w:szCs w:val="22"/>
              </w:rPr>
            </w:pPr>
            <w:r>
              <w:rPr>
                <w:rFonts w:ascii="仿宋_GB2312" w:hAnsi="仿宋_GB2312" w:cs="宋体"/>
                <w:color w:val="000000"/>
                <w:kern w:val="0"/>
                <w:sz w:val="22"/>
                <w:szCs w:val="22"/>
              </w:rPr>
              <w:t>20911</w:t>
            </w:r>
          </w:p>
        </w:tc>
        <w:tc>
          <w:tcPr>
            <w:tcW w:w="562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 xml:space="preserve">    机关事业单位基本养老保险基金支出</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33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2091101</w:t>
            </w:r>
          </w:p>
        </w:tc>
        <w:tc>
          <w:tcPr>
            <w:tcW w:w="562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 xml:space="preserve">        基本养老金支出</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33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230</w:t>
            </w:r>
          </w:p>
        </w:tc>
        <w:tc>
          <w:tcPr>
            <w:tcW w:w="562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转移性支出</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348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仿宋_GB2312" w:cs="宋体"/>
                <w:color w:val="000000"/>
                <w:kern w:val="0"/>
                <w:sz w:val="22"/>
                <w:szCs w:val="22"/>
              </w:rPr>
            </w:pPr>
            <w:r>
              <w:rPr>
                <w:rFonts w:ascii="仿宋_GB2312" w:hAnsi="仿宋_GB2312" w:cs="宋体"/>
                <w:color w:val="000000"/>
                <w:kern w:val="0"/>
                <w:sz w:val="22"/>
                <w:szCs w:val="22"/>
              </w:rPr>
              <w:t>23009</w:t>
            </w:r>
          </w:p>
        </w:tc>
        <w:tc>
          <w:tcPr>
            <w:tcW w:w="5620" w:type="dxa"/>
            <w:tcBorders>
              <w:top w:val="nil"/>
              <w:left w:val="nil"/>
              <w:bottom w:val="single" w:color="auto" w:sz="4"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 xml:space="preserve">    年终结余</w:t>
            </w:r>
          </w:p>
        </w:tc>
        <w:tc>
          <w:tcPr>
            <w:tcW w:w="1320" w:type="dxa"/>
            <w:tcBorders>
              <w:top w:val="nil"/>
              <w:left w:val="nil"/>
              <w:bottom w:val="single" w:color="auto" w:sz="4"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348 </w:t>
            </w:r>
          </w:p>
        </w:tc>
      </w:tr>
      <w:tr>
        <w:tblPrEx>
          <w:tblCellMar>
            <w:top w:w="0" w:type="dxa"/>
            <w:left w:w="108" w:type="dxa"/>
            <w:bottom w:w="0" w:type="dxa"/>
            <w:right w:w="108" w:type="dxa"/>
          </w:tblCellMar>
        </w:tblPrEx>
        <w:trPr>
          <w:trHeight w:val="402" w:hRule="atLeast"/>
        </w:trPr>
        <w:tc>
          <w:tcPr>
            <w:tcW w:w="1540" w:type="dxa"/>
            <w:tcBorders>
              <w:top w:val="nil"/>
              <w:left w:val="single" w:color="auto" w:sz="8" w:space="0"/>
              <w:bottom w:val="single" w:color="auto" w:sz="8" w:space="0"/>
              <w:right w:val="single" w:color="auto" w:sz="4"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2300916</w:t>
            </w:r>
          </w:p>
        </w:tc>
        <w:tc>
          <w:tcPr>
            <w:tcW w:w="5620" w:type="dxa"/>
            <w:tcBorders>
              <w:top w:val="nil"/>
              <w:left w:val="nil"/>
              <w:bottom w:val="single" w:color="auto" w:sz="8" w:space="0"/>
              <w:right w:val="single" w:color="auto" w:sz="4" w:space="0"/>
            </w:tcBorders>
            <w:shd w:val="clear" w:color="auto" w:fill="auto"/>
            <w:vAlign w:val="center"/>
          </w:tcPr>
          <w:p>
            <w:pPr>
              <w:widowControl/>
              <w:rPr>
                <w:rFonts w:ascii="仿宋_GB2312" w:hAnsi="仿宋_GB2312" w:cs="宋体"/>
                <w:color w:val="000000"/>
                <w:kern w:val="0"/>
                <w:sz w:val="22"/>
                <w:szCs w:val="22"/>
              </w:rPr>
            </w:pPr>
            <w:r>
              <w:rPr>
                <w:rFonts w:ascii="仿宋_GB2312" w:hAnsi="仿宋_GB2312" w:cs="宋体"/>
                <w:color w:val="000000"/>
                <w:kern w:val="0"/>
                <w:sz w:val="22"/>
                <w:szCs w:val="22"/>
              </w:rPr>
              <w:t xml:space="preserve">        机关事业单位基本养老保险基金年终结余</w:t>
            </w:r>
          </w:p>
        </w:tc>
        <w:tc>
          <w:tcPr>
            <w:tcW w:w="1320" w:type="dxa"/>
            <w:tcBorders>
              <w:top w:val="nil"/>
              <w:left w:val="nil"/>
              <w:bottom w:val="single" w:color="auto" w:sz="8" w:space="0"/>
              <w:right w:val="single" w:color="auto" w:sz="8" w:space="0"/>
            </w:tcBorders>
            <w:shd w:val="clear" w:color="auto" w:fill="auto"/>
            <w:vAlign w:val="center"/>
          </w:tcPr>
          <w:p>
            <w:pPr>
              <w:widowControl/>
              <w:jc w:val="right"/>
              <w:rPr>
                <w:rFonts w:ascii="仿宋_GB2312" w:hAnsi="仿宋_GB2312" w:cs="宋体"/>
                <w:color w:val="000000"/>
                <w:kern w:val="0"/>
                <w:sz w:val="22"/>
                <w:szCs w:val="22"/>
              </w:rPr>
            </w:pPr>
            <w:r>
              <w:rPr>
                <w:rFonts w:ascii="仿宋_GB2312" w:hAnsi="仿宋_GB2312" w:cs="宋体"/>
                <w:color w:val="000000"/>
                <w:kern w:val="0"/>
                <w:sz w:val="22"/>
                <w:szCs w:val="22"/>
              </w:rPr>
              <w:t xml:space="preserve">      348 </w:t>
            </w:r>
          </w:p>
        </w:tc>
      </w:tr>
    </w:tbl>
    <w:p>
      <w:pPr>
        <w:rPr>
          <w:rFonts w:ascii="仿宋_GB2312" w:eastAsia="仿宋_GB2312"/>
          <w:sz w:val="26"/>
          <w:szCs w:val="26"/>
        </w:rPr>
      </w:pPr>
    </w:p>
    <w:p/>
    <w:p>
      <w:pPr>
        <w:spacing w:line="560" w:lineRule="exact"/>
        <w:ind w:firstLine="420" w:firstLineChars="200"/>
      </w:pPr>
    </w:p>
    <w:sectPr>
      <w:pgSz w:w="11906" w:h="16838"/>
      <w:pgMar w:top="1440" w:right="1701" w:bottom="1440" w:left="1588" w:header="709" w:footer="709" w:gutter="0"/>
      <w:cols w:space="708"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楷体_GB2312">
    <w:altName w:val="方正楷体_GBK"/>
    <w:panose1 w:val="00000000000000000000"/>
    <w:charset w:val="86"/>
    <w:family w:val="modern"/>
    <w:pitch w:val="default"/>
    <w:sig w:usb0="00000000" w:usb1="00000000" w:usb2="00000010" w:usb3="00000000" w:csb0="00040000" w:csb1="00000000"/>
  </w:font>
  <w:font w:name="仿宋_GB2312">
    <w:altName w:val="方正仿宋_GBK"/>
    <w:panose1 w:val="00000000000000000000"/>
    <w:charset w:val="00"/>
    <w:family w:val="auto"/>
    <w:pitch w:val="default"/>
    <w:sig w:usb0="00000000" w:usb1="00000000" w:usb2="00000000"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7840" w:firstLineChars="2800"/>
      <w:rPr>
        <w:rFonts w:ascii="仿宋" w:hAnsi="仿宋" w:eastAsia="仿宋"/>
        <w:sz w:val="28"/>
        <w:szCs w:val="21"/>
        <w:lang w:eastAsia="zh-CN"/>
      </w:rPr>
    </w:pPr>
  </w:p>
  <w:p>
    <w:pPr>
      <w:pStyle w:val="10"/>
      <w:rPr>
        <w:rFonts w:ascii="仿宋" w:hAnsi="仿宋" w:eastAsia="仿宋"/>
        <w:sz w:val="28"/>
        <w:szCs w:val="21"/>
        <w:lang w:eastAsia="zh-CN"/>
      </w:rPr>
    </w:pPr>
    <w:r>
      <w:rPr>
        <w:rFonts w:ascii="仿宋" w:hAnsi="仿宋" w:eastAsia="仿宋"/>
        <w:sz w:val="28"/>
        <w:szCs w:val="21"/>
        <w:lang w:eastAsia="zh-CN"/>
      </w:rPr>
      <w:t>-</w:t>
    </w:r>
    <w:r>
      <w:rPr>
        <w:rFonts w:ascii="仿宋" w:hAnsi="仿宋" w:eastAsia="仿宋"/>
        <w:sz w:val="28"/>
        <w:szCs w:val="21"/>
      </w:rPr>
      <w:fldChar w:fldCharType="begin"/>
    </w:r>
    <w:r>
      <w:rPr>
        <w:rFonts w:ascii="仿宋" w:hAnsi="仿宋" w:eastAsia="仿宋"/>
        <w:sz w:val="28"/>
        <w:szCs w:val="21"/>
      </w:rPr>
      <w:instrText xml:space="preserve"> PAGE   \* MERGEFORMAT </w:instrText>
    </w:r>
    <w:r>
      <w:rPr>
        <w:rFonts w:ascii="仿宋" w:hAnsi="仿宋" w:eastAsia="仿宋"/>
        <w:sz w:val="28"/>
        <w:szCs w:val="21"/>
      </w:rPr>
      <w:fldChar w:fldCharType="separate"/>
    </w:r>
    <w:r>
      <w:rPr>
        <w:rFonts w:ascii="仿宋" w:hAnsi="仿宋" w:eastAsia="仿宋"/>
        <w:sz w:val="28"/>
        <w:szCs w:val="21"/>
        <w:lang w:val="zh-CN"/>
      </w:rPr>
      <w:t>2</w:t>
    </w:r>
    <w:r>
      <w:rPr>
        <w:rFonts w:ascii="仿宋" w:hAnsi="仿宋" w:eastAsia="仿宋"/>
        <w:sz w:val="28"/>
        <w:szCs w:val="21"/>
      </w:rPr>
      <w:fldChar w:fldCharType="end"/>
    </w:r>
    <w:r>
      <w:rPr>
        <w:rFonts w:ascii="仿宋" w:hAnsi="仿宋" w:eastAsia="仿宋"/>
        <w:sz w:val="28"/>
        <w:szCs w:val="21"/>
        <w:lang w:eastAsia="zh-CN"/>
      </w:rPr>
      <w:t>-</w:t>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jc w:val="right"/>
      <w:rPr>
        <w:rFonts w:ascii="仿宋" w:eastAsia="仿宋"/>
        <w:sz w:val="28"/>
        <w:lang w:eastAsia="zh-CN"/>
      </w:rPr>
    </w:pPr>
    <w:r>
      <w:rPr>
        <w:rFonts w:ascii="仿宋" w:hAnsi="仿宋" w:eastAsia="仿宋"/>
        <w:sz w:val="28"/>
        <w:szCs w:val="21"/>
        <w:lang w:eastAsia="zh-CN"/>
      </w:rPr>
      <w:ptab w:relativeTo="margin" w:alignment="right" w:leader="none"/>
    </w:r>
    <w:r>
      <w:rPr>
        <w:rFonts w:ascii="仿宋" w:hAnsi="仿宋" w:eastAsia="仿宋"/>
        <w:sz w:val="28"/>
        <w:szCs w:val="32"/>
        <w:lang w:eastAsia="zh-CN"/>
      </w:rPr>
      <w:t>-</w:t>
    </w:r>
    <w:r>
      <w:rPr>
        <w:rFonts w:ascii="仿宋" w:eastAsia="仿宋"/>
        <w:sz w:val="28"/>
        <w:szCs w:val="32"/>
      </w:rPr>
      <w:fldChar w:fldCharType="begin"/>
    </w:r>
    <w:r>
      <w:rPr>
        <w:rFonts w:ascii="仿宋" w:eastAsia="仿宋"/>
        <w:sz w:val="28"/>
        <w:szCs w:val="32"/>
      </w:rPr>
      <w:instrText xml:space="preserve"> PAGE   \* MERGEFORMAT </w:instrText>
    </w:r>
    <w:r>
      <w:rPr>
        <w:rFonts w:ascii="仿宋" w:eastAsia="仿宋"/>
        <w:sz w:val="28"/>
        <w:szCs w:val="32"/>
      </w:rPr>
      <w:fldChar w:fldCharType="separate"/>
    </w:r>
    <w:r>
      <w:rPr>
        <w:rFonts w:ascii="仿宋" w:eastAsia="仿宋"/>
        <w:sz w:val="28"/>
        <w:szCs w:val="32"/>
        <w:lang w:val="zh-CN"/>
      </w:rPr>
      <w:t>33</w:t>
    </w:r>
    <w:r>
      <w:rPr>
        <w:rFonts w:ascii="仿宋" w:eastAsia="仿宋"/>
        <w:sz w:val="28"/>
        <w:szCs w:val="32"/>
      </w:rPr>
      <w:fldChar w:fldCharType="end"/>
    </w:r>
    <w:r>
      <w:rPr>
        <w:rFonts w:ascii="仿宋" w:hAnsi="仿宋" w:eastAsia="仿宋"/>
        <w:sz w:val="28"/>
        <w:szCs w:val="32"/>
        <w:lang w:eastAsia="zh-CN"/>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7840" w:firstLineChars="2800"/>
      <w:rPr>
        <w:rFonts w:ascii="仿宋" w:hAnsi="仿宋" w:eastAsia="仿宋"/>
        <w:sz w:val="28"/>
        <w:szCs w:val="21"/>
        <w:lang w:eastAsia="zh-CN"/>
      </w:rPr>
    </w:pPr>
  </w:p>
  <w:p>
    <w:pPr>
      <w:pStyle w:val="10"/>
      <w:rPr>
        <w:rFonts w:ascii="仿宋" w:hAnsi="仿宋" w:eastAsia="仿宋"/>
        <w:sz w:val="28"/>
        <w:szCs w:val="21"/>
        <w:lang w:eastAsia="zh-CN"/>
      </w:rPr>
    </w:pPr>
    <w:r>
      <w:rPr>
        <w:rFonts w:ascii="仿宋" w:hAnsi="仿宋" w:eastAsia="仿宋"/>
        <w:sz w:val="28"/>
        <w:szCs w:val="21"/>
        <w:lang w:eastAsia="zh-CN"/>
      </w:rPr>
      <w:t>-</w:t>
    </w:r>
    <w:r>
      <w:rPr>
        <w:rFonts w:ascii="仿宋" w:hAnsi="仿宋" w:eastAsia="仿宋"/>
        <w:sz w:val="28"/>
        <w:szCs w:val="21"/>
      </w:rPr>
      <w:fldChar w:fldCharType="begin"/>
    </w:r>
    <w:r>
      <w:rPr>
        <w:rFonts w:ascii="仿宋" w:hAnsi="仿宋" w:eastAsia="仿宋"/>
        <w:sz w:val="28"/>
        <w:szCs w:val="21"/>
      </w:rPr>
      <w:instrText xml:space="preserve"> PAGE   \* MERGEFORMAT </w:instrText>
    </w:r>
    <w:r>
      <w:rPr>
        <w:rFonts w:ascii="仿宋" w:hAnsi="仿宋" w:eastAsia="仿宋"/>
        <w:sz w:val="28"/>
        <w:szCs w:val="21"/>
      </w:rPr>
      <w:fldChar w:fldCharType="separate"/>
    </w:r>
    <w:r>
      <w:rPr>
        <w:rFonts w:ascii="仿宋" w:hAnsi="仿宋" w:eastAsia="仿宋"/>
        <w:sz w:val="28"/>
        <w:szCs w:val="21"/>
        <w:lang w:val="zh-CN"/>
      </w:rPr>
      <w:t>34</w:t>
    </w:r>
    <w:r>
      <w:rPr>
        <w:rFonts w:ascii="仿宋" w:hAnsi="仿宋" w:eastAsia="仿宋"/>
        <w:sz w:val="28"/>
        <w:szCs w:val="21"/>
      </w:rPr>
      <w:fldChar w:fldCharType="end"/>
    </w:r>
    <w:r>
      <w:rPr>
        <w:rFonts w:ascii="仿宋" w:hAnsi="仿宋" w:eastAsia="仿宋"/>
        <w:sz w:val="28"/>
        <w:szCs w:val="21"/>
        <w:lang w:eastAsia="zh-CN"/>
      </w:rPr>
      <w:t>-</w:t>
    </w:r>
  </w:p>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jc w:val="right"/>
      <w:rPr>
        <w:rFonts w:ascii="仿宋" w:eastAsia="仿宋"/>
        <w:sz w:val="28"/>
        <w:lang w:eastAsia="zh-CN"/>
      </w:rPr>
    </w:pPr>
    <w:r>
      <w:rPr>
        <w:rFonts w:ascii="仿宋" w:hAnsi="仿宋" w:eastAsia="仿宋"/>
        <w:sz w:val="28"/>
        <w:szCs w:val="32"/>
        <w:lang w:eastAsia="zh-CN"/>
      </w:rPr>
      <w:t>-</w:t>
    </w:r>
    <w:r>
      <w:rPr>
        <w:rFonts w:ascii="仿宋" w:eastAsia="仿宋"/>
        <w:sz w:val="28"/>
        <w:szCs w:val="32"/>
      </w:rPr>
      <w:fldChar w:fldCharType="begin"/>
    </w:r>
    <w:r>
      <w:rPr>
        <w:rFonts w:ascii="仿宋" w:eastAsia="仿宋"/>
        <w:sz w:val="28"/>
        <w:szCs w:val="32"/>
      </w:rPr>
      <w:instrText xml:space="preserve"> PAGE   \* MERGEFORMAT </w:instrText>
    </w:r>
    <w:r>
      <w:rPr>
        <w:rFonts w:ascii="仿宋" w:eastAsia="仿宋"/>
        <w:sz w:val="28"/>
        <w:szCs w:val="32"/>
      </w:rPr>
      <w:fldChar w:fldCharType="separate"/>
    </w:r>
    <w:r>
      <w:rPr>
        <w:rFonts w:ascii="仿宋" w:eastAsia="仿宋"/>
        <w:sz w:val="28"/>
        <w:szCs w:val="32"/>
        <w:lang w:val="zh-CN"/>
      </w:rPr>
      <w:t>7</w:t>
    </w:r>
    <w:r>
      <w:rPr>
        <w:rFonts w:ascii="仿宋" w:eastAsia="仿宋"/>
        <w:sz w:val="28"/>
        <w:szCs w:val="32"/>
      </w:rPr>
      <w:fldChar w:fldCharType="end"/>
    </w:r>
    <w:r>
      <w:rPr>
        <w:rFonts w:ascii="仿宋" w:hAnsi="仿宋" w:eastAsia="仿宋"/>
        <w:sz w:val="28"/>
        <w:szCs w:val="32"/>
        <w:lang w:eastAsia="zh-CN"/>
      </w:rPr>
      <w:t>-</w:t>
    </w:r>
  </w:p>
  <w:p>
    <w:pPr>
      <w:pStyle w:val="10"/>
      <w:jc w:val="right"/>
    </w:pP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720"/>
  <w:evenAndOddHeaders w:val="true"/>
  <w:drawingGridHorizontalSpacing w:val="105"/>
  <w:displayHorizontalDrawingGridEvery w:val="2"/>
  <w:displayVerticalDrawingGridEvery w:val="2"/>
  <w:noPunctuationKerning w:val="true"/>
  <w:characterSpacingControl w:val="doNotCompress"/>
  <w:noLineBreaksAfter w:lang="zh-CN" w:val="$([{£¥·‘“〈《「『【〔〖〝﹙﹛﹝＄（．［｛￡￥"/>
  <w:noLineBreaksBefore w:lang="zh-CN" w:val="!%),.:;&gt;?]}¢¨°·ˇˉ―‖’”…‰′″›℃∶、。〃〉》」』】〕〗〞︶︺︾﹀﹄﹚﹜﹞！＂％＇），．：；？］｀｜｝～￠"/>
  <w:compat>
    <w:doNotExpandShiftReturn/>
    <w:doNotWrapTextWithPunct/>
    <w:doNotUseEastAsianBreakRules/>
    <w:useFELayout/>
    <w:doNotUseIndentAsNumberingTabStop/>
    <w:compatSetting w:name="compatibilityMode" w:uri="http://schemas.microsoft.com/office/word" w:val="12"/>
  </w:compat>
  <w:rsids>
    <w:rsidRoot w:val="00D31D50"/>
    <w:rsid w:val="000004C5"/>
    <w:rsid w:val="000008D2"/>
    <w:rsid w:val="00000FE9"/>
    <w:rsid w:val="000011FC"/>
    <w:rsid w:val="0000344C"/>
    <w:rsid w:val="000038FE"/>
    <w:rsid w:val="00003977"/>
    <w:rsid w:val="00004763"/>
    <w:rsid w:val="00004C9A"/>
    <w:rsid w:val="00004FFC"/>
    <w:rsid w:val="000062CD"/>
    <w:rsid w:val="00007066"/>
    <w:rsid w:val="0001112D"/>
    <w:rsid w:val="00016330"/>
    <w:rsid w:val="00020441"/>
    <w:rsid w:val="000211A0"/>
    <w:rsid w:val="00022321"/>
    <w:rsid w:val="00023037"/>
    <w:rsid w:val="00023A65"/>
    <w:rsid w:val="0002417F"/>
    <w:rsid w:val="00024DA6"/>
    <w:rsid w:val="00025083"/>
    <w:rsid w:val="00026946"/>
    <w:rsid w:val="00026EC0"/>
    <w:rsid w:val="00030F05"/>
    <w:rsid w:val="0003273A"/>
    <w:rsid w:val="00032B48"/>
    <w:rsid w:val="000356B4"/>
    <w:rsid w:val="00035DBE"/>
    <w:rsid w:val="00036F3A"/>
    <w:rsid w:val="00037636"/>
    <w:rsid w:val="0004007B"/>
    <w:rsid w:val="0004025A"/>
    <w:rsid w:val="000419E0"/>
    <w:rsid w:val="000420FB"/>
    <w:rsid w:val="0004231E"/>
    <w:rsid w:val="00042799"/>
    <w:rsid w:val="00042B39"/>
    <w:rsid w:val="00042C32"/>
    <w:rsid w:val="00050F9D"/>
    <w:rsid w:val="000517A3"/>
    <w:rsid w:val="00052C4A"/>
    <w:rsid w:val="0005311A"/>
    <w:rsid w:val="000539D1"/>
    <w:rsid w:val="00053FC4"/>
    <w:rsid w:val="0005460C"/>
    <w:rsid w:val="00054880"/>
    <w:rsid w:val="00054A90"/>
    <w:rsid w:val="0005597A"/>
    <w:rsid w:val="00055B47"/>
    <w:rsid w:val="000560C9"/>
    <w:rsid w:val="00061369"/>
    <w:rsid w:val="00062F6A"/>
    <w:rsid w:val="00063163"/>
    <w:rsid w:val="000655D0"/>
    <w:rsid w:val="00066391"/>
    <w:rsid w:val="00066459"/>
    <w:rsid w:val="00067520"/>
    <w:rsid w:val="00070D20"/>
    <w:rsid w:val="00071712"/>
    <w:rsid w:val="000724CE"/>
    <w:rsid w:val="0007274B"/>
    <w:rsid w:val="000727C3"/>
    <w:rsid w:val="000735AF"/>
    <w:rsid w:val="00073BDF"/>
    <w:rsid w:val="00074C92"/>
    <w:rsid w:val="00074D6E"/>
    <w:rsid w:val="000761F9"/>
    <w:rsid w:val="00077242"/>
    <w:rsid w:val="000778DF"/>
    <w:rsid w:val="00080EC8"/>
    <w:rsid w:val="00081682"/>
    <w:rsid w:val="000818FA"/>
    <w:rsid w:val="00084E1B"/>
    <w:rsid w:val="00085122"/>
    <w:rsid w:val="00085C32"/>
    <w:rsid w:val="000866D5"/>
    <w:rsid w:val="0009092F"/>
    <w:rsid w:val="00090D0E"/>
    <w:rsid w:val="0009189E"/>
    <w:rsid w:val="00094C0E"/>
    <w:rsid w:val="00095710"/>
    <w:rsid w:val="00097080"/>
    <w:rsid w:val="00097E1E"/>
    <w:rsid w:val="000A06E0"/>
    <w:rsid w:val="000A3B4D"/>
    <w:rsid w:val="000A4A25"/>
    <w:rsid w:val="000A4E18"/>
    <w:rsid w:val="000A6B3D"/>
    <w:rsid w:val="000A7990"/>
    <w:rsid w:val="000B08A7"/>
    <w:rsid w:val="000B16D5"/>
    <w:rsid w:val="000B178F"/>
    <w:rsid w:val="000B1D06"/>
    <w:rsid w:val="000B2296"/>
    <w:rsid w:val="000C083B"/>
    <w:rsid w:val="000C0ECA"/>
    <w:rsid w:val="000C0ED2"/>
    <w:rsid w:val="000C1E3F"/>
    <w:rsid w:val="000C2124"/>
    <w:rsid w:val="000C2B02"/>
    <w:rsid w:val="000C33F5"/>
    <w:rsid w:val="000C6F75"/>
    <w:rsid w:val="000C72C7"/>
    <w:rsid w:val="000C7966"/>
    <w:rsid w:val="000D19B3"/>
    <w:rsid w:val="000D19F5"/>
    <w:rsid w:val="000D1B1B"/>
    <w:rsid w:val="000D3DB3"/>
    <w:rsid w:val="000D5DB6"/>
    <w:rsid w:val="000D6B6E"/>
    <w:rsid w:val="000D6E4F"/>
    <w:rsid w:val="000D752C"/>
    <w:rsid w:val="000E011F"/>
    <w:rsid w:val="000E3DC2"/>
    <w:rsid w:val="000E41F8"/>
    <w:rsid w:val="000E4417"/>
    <w:rsid w:val="000E5F49"/>
    <w:rsid w:val="000E7659"/>
    <w:rsid w:val="000E76EB"/>
    <w:rsid w:val="000E7CA4"/>
    <w:rsid w:val="000F0F51"/>
    <w:rsid w:val="000F1AFF"/>
    <w:rsid w:val="000F22F0"/>
    <w:rsid w:val="000F26EF"/>
    <w:rsid w:val="000F2F6B"/>
    <w:rsid w:val="000F38DE"/>
    <w:rsid w:val="000F74E9"/>
    <w:rsid w:val="000F7B9B"/>
    <w:rsid w:val="001000A6"/>
    <w:rsid w:val="00100C16"/>
    <w:rsid w:val="00101940"/>
    <w:rsid w:val="00103CF2"/>
    <w:rsid w:val="00105B57"/>
    <w:rsid w:val="001060A2"/>
    <w:rsid w:val="001127E5"/>
    <w:rsid w:val="001209DC"/>
    <w:rsid w:val="00122995"/>
    <w:rsid w:val="00124964"/>
    <w:rsid w:val="001256EC"/>
    <w:rsid w:val="00126051"/>
    <w:rsid w:val="001307A3"/>
    <w:rsid w:val="00130F2B"/>
    <w:rsid w:val="00131C73"/>
    <w:rsid w:val="00133963"/>
    <w:rsid w:val="001348B9"/>
    <w:rsid w:val="00135784"/>
    <w:rsid w:val="00135B24"/>
    <w:rsid w:val="00135BCB"/>
    <w:rsid w:val="00135F14"/>
    <w:rsid w:val="00136C27"/>
    <w:rsid w:val="00142766"/>
    <w:rsid w:val="0014317A"/>
    <w:rsid w:val="00143530"/>
    <w:rsid w:val="00144FC3"/>
    <w:rsid w:val="00146586"/>
    <w:rsid w:val="00146BF7"/>
    <w:rsid w:val="00147381"/>
    <w:rsid w:val="00147AD4"/>
    <w:rsid w:val="00150111"/>
    <w:rsid w:val="00150442"/>
    <w:rsid w:val="00151A6D"/>
    <w:rsid w:val="001528BA"/>
    <w:rsid w:val="00152EA9"/>
    <w:rsid w:val="00153970"/>
    <w:rsid w:val="0016013E"/>
    <w:rsid w:val="001601F6"/>
    <w:rsid w:val="00160271"/>
    <w:rsid w:val="0016498E"/>
    <w:rsid w:val="00165831"/>
    <w:rsid w:val="00165E28"/>
    <w:rsid w:val="00165F6E"/>
    <w:rsid w:val="00166A35"/>
    <w:rsid w:val="00166EC7"/>
    <w:rsid w:val="001707A8"/>
    <w:rsid w:val="001716BB"/>
    <w:rsid w:val="00172047"/>
    <w:rsid w:val="00174C57"/>
    <w:rsid w:val="00174DF5"/>
    <w:rsid w:val="00175683"/>
    <w:rsid w:val="00175AF2"/>
    <w:rsid w:val="00177594"/>
    <w:rsid w:val="00180639"/>
    <w:rsid w:val="00181C06"/>
    <w:rsid w:val="00182120"/>
    <w:rsid w:val="001837AE"/>
    <w:rsid w:val="0018386A"/>
    <w:rsid w:val="0018556C"/>
    <w:rsid w:val="0018622C"/>
    <w:rsid w:val="00187AEF"/>
    <w:rsid w:val="00187AF5"/>
    <w:rsid w:val="0019027F"/>
    <w:rsid w:val="00191C43"/>
    <w:rsid w:val="00192EA6"/>
    <w:rsid w:val="00193107"/>
    <w:rsid w:val="00193D4A"/>
    <w:rsid w:val="00194C82"/>
    <w:rsid w:val="00194D24"/>
    <w:rsid w:val="00195423"/>
    <w:rsid w:val="001973AA"/>
    <w:rsid w:val="001A01B5"/>
    <w:rsid w:val="001A03AD"/>
    <w:rsid w:val="001A0D17"/>
    <w:rsid w:val="001A7658"/>
    <w:rsid w:val="001B0600"/>
    <w:rsid w:val="001B0B30"/>
    <w:rsid w:val="001B106E"/>
    <w:rsid w:val="001B289B"/>
    <w:rsid w:val="001B35EC"/>
    <w:rsid w:val="001C38DD"/>
    <w:rsid w:val="001C3AAF"/>
    <w:rsid w:val="001C4B31"/>
    <w:rsid w:val="001C5A1A"/>
    <w:rsid w:val="001C7A65"/>
    <w:rsid w:val="001D011E"/>
    <w:rsid w:val="001D0202"/>
    <w:rsid w:val="001D14FC"/>
    <w:rsid w:val="001D356D"/>
    <w:rsid w:val="001D4639"/>
    <w:rsid w:val="001D54E4"/>
    <w:rsid w:val="001D5F44"/>
    <w:rsid w:val="001D6755"/>
    <w:rsid w:val="001E0750"/>
    <w:rsid w:val="001E1D1B"/>
    <w:rsid w:val="001E374F"/>
    <w:rsid w:val="001E444D"/>
    <w:rsid w:val="001E4FEC"/>
    <w:rsid w:val="001E51BA"/>
    <w:rsid w:val="001E6F6A"/>
    <w:rsid w:val="001F02FF"/>
    <w:rsid w:val="001F036C"/>
    <w:rsid w:val="001F1659"/>
    <w:rsid w:val="001F2923"/>
    <w:rsid w:val="001F7A5B"/>
    <w:rsid w:val="0020192C"/>
    <w:rsid w:val="00202746"/>
    <w:rsid w:val="00204F96"/>
    <w:rsid w:val="00205BA4"/>
    <w:rsid w:val="00205F0D"/>
    <w:rsid w:val="002061FB"/>
    <w:rsid w:val="00206D16"/>
    <w:rsid w:val="002075AF"/>
    <w:rsid w:val="00211024"/>
    <w:rsid w:val="00213EDF"/>
    <w:rsid w:val="00215400"/>
    <w:rsid w:val="00215D1F"/>
    <w:rsid w:val="0021709B"/>
    <w:rsid w:val="00221156"/>
    <w:rsid w:val="002233BD"/>
    <w:rsid w:val="00223A00"/>
    <w:rsid w:val="00224B55"/>
    <w:rsid w:val="00225F43"/>
    <w:rsid w:val="002273D0"/>
    <w:rsid w:val="00227589"/>
    <w:rsid w:val="00227DCF"/>
    <w:rsid w:val="002327F1"/>
    <w:rsid w:val="0023363F"/>
    <w:rsid w:val="00233D59"/>
    <w:rsid w:val="00234390"/>
    <w:rsid w:val="00234CA8"/>
    <w:rsid w:val="00235810"/>
    <w:rsid w:val="00235A41"/>
    <w:rsid w:val="0024001E"/>
    <w:rsid w:val="00242203"/>
    <w:rsid w:val="002464A6"/>
    <w:rsid w:val="00246DCC"/>
    <w:rsid w:val="00246F50"/>
    <w:rsid w:val="00247268"/>
    <w:rsid w:val="0025075D"/>
    <w:rsid w:val="002508C0"/>
    <w:rsid w:val="002509D1"/>
    <w:rsid w:val="00251E21"/>
    <w:rsid w:val="00252548"/>
    <w:rsid w:val="00254B71"/>
    <w:rsid w:val="00254DEC"/>
    <w:rsid w:val="002579CD"/>
    <w:rsid w:val="00261ACE"/>
    <w:rsid w:val="002623EC"/>
    <w:rsid w:val="002652C6"/>
    <w:rsid w:val="00265965"/>
    <w:rsid w:val="0026671E"/>
    <w:rsid w:val="00267CD7"/>
    <w:rsid w:val="0027089D"/>
    <w:rsid w:val="002713B6"/>
    <w:rsid w:val="00271A2E"/>
    <w:rsid w:val="00273486"/>
    <w:rsid w:val="002762BA"/>
    <w:rsid w:val="002769DB"/>
    <w:rsid w:val="0027730D"/>
    <w:rsid w:val="00280046"/>
    <w:rsid w:val="00280591"/>
    <w:rsid w:val="00282315"/>
    <w:rsid w:val="00282EF7"/>
    <w:rsid w:val="0028313B"/>
    <w:rsid w:val="0028467B"/>
    <w:rsid w:val="0029097E"/>
    <w:rsid w:val="0029304C"/>
    <w:rsid w:val="00293AE0"/>
    <w:rsid w:val="002940F3"/>
    <w:rsid w:val="00294D6F"/>
    <w:rsid w:val="00294EB7"/>
    <w:rsid w:val="00297397"/>
    <w:rsid w:val="002A3698"/>
    <w:rsid w:val="002A4871"/>
    <w:rsid w:val="002A7240"/>
    <w:rsid w:val="002A77E9"/>
    <w:rsid w:val="002A79A5"/>
    <w:rsid w:val="002B0245"/>
    <w:rsid w:val="002B1F13"/>
    <w:rsid w:val="002B28E5"/>
    <w:rsid w:val="002B2B8A"/>
    <w:rsid w:val="002B3E68"/>
    <w:rsid w:val="002B41A6"/>
    <w:rsid w:val="002B7056"/>
    <w:rsid w:val="002B7B8C"/>
    <w:rsid w:val="002C0430"/>
    <w:rsid w:val="002C1419"/>
    <w:rsid w:val="002C2350"/>
    <w:rsid w:val="002C2EE4"/>
    <w:rsid w:val="002C31A4"/>
    <w:rsid w:val="002C5BB1"/>
    <w:rsid w:val="002C5F6A"/>
    <w:rsid w:val="002C6F52"/>
    <w:rsid w:val="002C7C37"/>
    <w:rsid w:val="002D3684"/>
    <w:rsid w:val="002D400D"/>
    <w:rsid w:val="002D48FA"/>
    <w:rsid w:val="002D68A4"/>
    <w:rsid w:val="002D68E5"/>
    <w:rsid w:val="002D6D09"/>
    <w:rsid w:val="002E0A07"/>
    <w:rsid w:val="002E0F39"/>
    <w:rsid w:val="002E1C04"/>
    <w:rsid w:val="002E2497"/>
    <w:rsid w:val="002E4A64"/>
    <w:rsid w:val="002E5F9F"/>
    <w:rsid w:val="002E62D6"/>
    <w:rsid w:val="002E6528"/>
    <w:rsid w:val="002E748C"/>
    <w:rsid w:val="002E74F2"/>
    <w:rsid w:val="002E7667"/>
    <w:rsid w:val="002E7893"/>
    <w:rsid w:val="002F0BB7"/>
    <w:rsid w:val="002F17AE"/>
    <w:rsid w:val="002F194F"/>
    <w:rsid w:val="002F3E08"/>
    <w:rsid w:val="002F55D3"/>
    <w:rsid w:val="002F69FC"/>
    <w:rsid w:val="002F786F"/>
    <w:rsid w:val="003006DE"/>
    <w:rsid w:val="00301A21"/>
    <w:rsid w:val="00302759"/>
    <w:rsid w:val="003040A6"/>
    <w:rsid w:val="00306125"/>
    <w:rsid w:val="00306EF8"/>
    <w:rsid w:val="00310739"/>
    <w:rsid w:val="00310E04"/>
    <w:rsid w:val="00311736"/>
    <w:rsid w:val="00313C61"/>
    <w:rsid w:val="00314DE4"/>
    <w:rsid w:val="003150D9"/>
    <w:rsid w:val="003150DB"/>
    <w:rsid w:val="003175E2"/>
    <w:rsid w:val="00317BBF"/>
    <w:rsid w:val="003208FA"/>
    <w:rsid w:val="00320AC7"/>
    <w:rsid w:val="003212A7"/>
    <w:rsid w:val="00321BB4"/>
    <w:rsid w:val="00323433"/>
    <w:rsid w:val="00323856"/>
    <w:rsid w:val="00323B43"/>
    <w:rsid w:val="00324828"/>
    <w:rsid w:val="003253E2"/>
    <w:rsid w:val="00326E03"/>
    <w:rsid w:val="00326EB6"/>
    <w:rsid w:val="00327B5C"/>
    <w:rsid w:val="00330657"/>
    <w:rsid w:val="003307B8"/>
    <w:rsid w:val="00330B16"/>
    <w:rsid w:val="00330F91"/>
    <w:rsid w:val="003315B8"/>
    <w:rsid w:val="00332D61"/>
    <w:rsid w:val="00333A97"/>
    <w:rsid w:val="0033489C"/>
    <w:rsid w:val="00335718"/>
    <w:rsid w:val="0033594A"/>
    <w:rsid w:val="003359DB"/>
    <w:rsid w:val="00335FED"/>
    <w:rsid w:val="00336B17"/>
    <w:rsid w:val="00336E95"/>
    <w:rsid w:val="00337B0E"/>
    <w:rsid w:val="00337B47"/>
    <w:rsid w:val="00337BF6"/>
    <w:rsid w:val="00337DAB"/>
    <w:rsid w:val="00341345"/>
    <w:rsid w:val="0034208D"/>
    <w:rsid w:val="003452FE"/>
    <w:rsid w:val="0034567A"/>
    <w:rsid w:val="00345875"/>
    <w:rsid w:val="00350554"/>
    <w:rsid w:val="0035088D"/>
    <w:rsid w:val="003511C5"/>
    <w:rsid w:val="00352FB0"/>
    <w:rsid w:val="00354755"/>
    <w:rsid w:val="00354ADC"/>
    <w:rsid w:val="00354C93"/>
    <w:rsid w:val="00360AA3"/>
    <w:rsid w:val="0036129A"/>
    <w:rsid w:val="0036139E"/>
    <w:rsid w:val="00361C6B"/>
    <w:rsid w:val="00361E4C"/>
    <w:rsid w:val="003624BE"/>
    <w:rsid w:val="0036327B"/>
    <w:rsid w:val="00363D57"/>
    <w:rsid w:val="0036768E"/>
    <w:rsid w:val="00367A05"/>
    <w:rsid w:val="00370EC3"/>
    <w:rsid w:val="00371394"/>
    <w:rsid w:val="003715BF"/>
    <w:rsid w:val="0037244E"/>
    <w:rsid w:val="0037357A"/>
    <w:rsid w:val="00373ABA"/>
    <w:rsid w:val="00374FC2"/>
    <w:rsid w:val="00377E8B"/>
    <w:rsid w:val="00380B6A"/>
    <w:rsid w:val="003825C6"/>
    <w:rsid w:val="003842E1"/>
    <w:rsid w:val="003844FD"/>
    <w:rsid w:val="00385485"/>
    <w:rsid w:val="0038628F"/>
    <w:rsid w:val="003871E7"/>
    <w:rsid w:val="00393EA8"/>
    <w:rsid w:val="0039402E"/>
    <w:rsid w:val="00394111"/>
    <w:rsid w:val="003954C7"/>
    <w:rsid w:val="003A0BA1"/>
    <w:rsid w:val="003A1009"/>
    <w:rsid w:val="003A1875"/>
    <w:rsid w:val="003A1AC0"/>
    <w:rsid w:val="003A2ECA"/>
    <w:rsid w:val="003A3CA4"/>
    <w:rsid w:val="003A5716"/>
    <w:rsid w:val="003A5DBE"/>
    <w:rsid w:val="003A5E5D"/>
    <w:rsid w:val="003A6CCC"/>
    <w:rsid w:val="003B57F6"/>
    <w:rsid w:val="003B5846"/>
    <w:rsid w:val="003B6916"/>
    <w:rsid w:val="003B736B"/>
    <w:rsid w:val="003B73A9"/>
    <w:rsid w:val="003C0A08"/>
    <w:rsid w:val="003C27F7"/>
    <w:rsid w:val="003C2B6C"/>
    <w:rsid w:val="003C32AE"/>
    <w:rsid w:val="003C3542"/>
    <w:rsid w:val="003C3E93"/>
    <w:rsid w:val="003C43C9"/>
    <w:rsid w:val="003C594A"/>
    <w:rsid w:val="003C5CCB"/>
    <w:rsid w:val="003C61F5"/>
    <w:rsid w:val="003C691D"/>
    <w:rsid w:val="003C7257"/>
    <w:rsid w:val="003C756A"/>
    <w:rsid w:val="003C7670"/>
    <w:rsid w:val="003D0359"/>
    <w:rsid w:val="003D0AF7"/>
    <w:rsid w:val="003D2723"/>
    <w:rsid w:val="003D2D4A"/>
    <w:rsid w:val="003D37D8"/>
    <w:rsid w:val="003D4C8A"/>
    <w:rsid w:val="003D7283"/>
    <w:rsid w:val="003D769F"/>
    <w:rsid w:val="003D7DA0"/>
    <w:rsid w:val="003E0388"/>
    <w:rsid w:val="003E0695"/>
    <w:rsid w:val="003E2F76"/>
    <w:rsid w:val="003E435C"/>
    <w:rsid w:val="003E4B75"/>
    <w:rsid w:val="003E5D3E"/>
    <w:rsid w:val="003E69E4"/>
    <w:rsid w:val="003E7AFC"/>
    <w:rsid w:val="003F0133"/>
    <w:rsid w:val="003F0ADC"/>
    <w:rsid w:val="003F29F3"/>
    <w:rsid w:val="003F2E08"/>
    <w:rsid w:val="003F3BA8"/>
    <w:rsid w:val="003F7682"/>
    <w:rsid w:val="004004A1"/>
    <w:rsid w:val="00400A12"/>
    <w:rsid w:val="004023B6"/>
    <w:rsid w:val="004035D2"/>
    <w:rsid w:val="00403EBF"/>
    <w:rsid w:val="00403FB5"/>
    <w:rsid w:val="00404590"/>
    <w:rsid w:val="00404693"/>
    <w:rsid w:val="004049A7"/>
    <w:rsid w:val="00404D8F"/>
    <w:rsid w:val="0040553E"/>
    <w:rsid w:val="00406716"/>
    <w:rsid w:val="00406B84"/>
    <w:rsid w:val="0040799B"/>
    <w:rsid w:val="004107A0"/>
    <w:rsid w:val="00411F64"/>
    <w:rsid w:val="00413037"/>
    <w:rsid w:val="00413144"/>
    <w:rsid w:val="004137FA"/>
    <w:rsid w:val="00414B98"/>
    <w:rsid w:val="004158F0"/>
    <w:rsid w:val="0041598A"/>
    <w:rsid w:val="004175E4"/>
    <w:rsid w:val="00420E99"/>
    <w:rsid w:val="004221B6"/>
    <w:rsid w:val="00422509"/>
    <w:rsid w:val="00424FEB"/>
    <w:rsid w:val="004251D2"/>
    <w:rsid w:val="00425AD6"/>
    <w:rsid w:val="00425B8A"/>
    <w:rsid w:val="00426133"/>
    <w:rsid w:val="004264C1"/>
    <w:rsid w:val="00432737"/>
    <w:rsid w:val="00434C31"/>
    <w:rsid w:val="004351E1"/>
    <w:rsid w:val="004358AB"/>
    <w:rsid w:val="00435AA3"/>
    <w:rsid w:val="00437162"/>
    <w:rsid w:val="00441838"/>
    <w:rsid w:val="00442CA9"/>
    <w:rsid w:val="00443135"/>
    <w:rsid w:val="0044319A"/>
    <w:rsid w:val="0044332A"/>
    <w:rsid w:val="00443672"/>
    <w:rsid w:val="00444101"/>
    <w:rsid w:val="00444D6C"/>
    <w:rsid w:val="00445D6A"/>
    <w:rsid w:val="00445DD6"/>
    <w:rsid w:val="00447F81"/>
    <w:rsid w:val="00452629"/>
    <w:rsid w:val="00452F49"/>
    <w:rsid w:val="00460F6C"/>
    <w:rsid w:val="00461985"/>
    <w:rsid w:val="00462012"/>
    <w:rsid w:val="00462148"/>
    <w:rsid w:val="004627C3"/>
    <w:rsid w:val="00464142"/>
    <w:rsid w:val="00464E31"/>
    <w:rsid w:val="004650F7"/>
    <w:rsid w:val="0046537C"/>
    <w:rsid w:val="00465775"/>
    <w:rsid w:val="004673CB"/>
    <w:rsid w:val="004673EB"/>
    <w:rsid w:val="00467497"/>
    <w:rsid w:val="0047111F"/>
    <w:rsid w:val="00471197"/>
    <w:rsid w:val="00473A08"/>
    <w:rsid w:val="00476BD1"/>
    <w:rsid w:val="00477213"/>
    <w:rsid w:val="00481261"/>
    <w:rsid w:val="00482889"/>
    <w:rsid w:val="004835F3"/>
    <w:rsid w:val="00483FFB"/>
    <w:rsid w:val="00490551"/>
    <w:rsid w:val="00491F5A"/>
    <w:rsid w:val="00493218"/>
    <w:rsid w:val="0049589D"/>
    <w:rsid w:val="00495E23"/>
    <w:rsid w:val="004977A8"/>
    <w:rsid w:val="004A39BD"/>
    <w:rsid w:val="004A42B5"/>
    <w:rsid w:val="004A469B"/>
    <w:rsid w:val="004A5855"/>
    <w:rsid w:val="004A6120"/>
    <w:rsid w:val="004A6B38"/>
    <w:rsid w:val="004A6DFD"/>
    <w:rsid w:val="004A7152"/>
    <w:rsid w:val="004A7B1C"/>
    <w:rsid w:val="004B1BB1"/>
    <w:rsid w:val="004B21E2"/>
    <w:rsid w:val="004B3598"/>
    <w:rsid w:val="004B3D0F"/>
    <w:rsid w:val="004B437C"/>
    <w:rsid w:val="004B4DDC"/>
    <w:rsid w:val="004B56C9"/>
    <w:rsid w:val="004B5B4C"/>
    <w:rsid w:val="004B5D95"/>
    <w:rsid w:val="004C1257"/>
    <w:rsid w:val="004C144E"/>
    <w:rsid w:val="004C219D"/>
    <w:rsid w:val="004C35DF"/>
    <w:rsid w:val="004C4DD0"/>
    <w:rsid w:val="004C5678"/>
    <w:rsid w:val="004D3D4D"/>
    <w:rsid w:val="004D3EC5"/>
    <w:rsid w:val="004D507E"/>
    <w:rsid w:val="004D58C5"/>
    <w:rsid w:val="004D59BF"/>
    <w:rsid w:val="004D5DF0"/>
    <w:rsid w:val="004D5E9D"/>
    <w:rsid w:val="004D6709"/>
    <w:rsid w:val="004D773B"/>
    <w:rsid w:val="004D7F06"/>
    <w:rsid w:val="004E02F4"/>
    <w:rsid w:val="004E0748"/>
    <w:rsid w:val="004E112E"/>
    <w:rsid w:val="004E1B89"/>
    <w:rsid w:val="004E26B5"/>
    <w:rsid w:val="004E2F58"/>
    <w:rsid w:val="004E3526"/>
    <w:rsid w:val="004E4111"/>
    <w:rsid w:val="004E761C"/>
    <w:rsid w:val="004E796E"/>
    <w:rsid w:val="004E7E10"/>
    <w:rsid w:val="004F0AC4"/>
    <w:rsid w:val="004F1897"/>
    <w:rsid w:val="004F2356"/>
    <w:rsid w:val="004F2C31"/>
    <w:rsid w:val="004F3C5F"/>
    <w:rsid w:val="004F3DE4"/>
    <w:rsid w:val="004F5129"/>
    <w:rsid w:val="004F5180"/>
    <w:rsid w:val="004F6817"/>
    <w:rsid w:val="004F7396"/>
    <w:rsid w:val="004F7AF0"/>
    <w:rsid w:val="004F7FFB"/>
    <w:rsid w:val="005004DE"/>
    <w:rsid w:val="00501B1A"/>
    <w:rsid w:val="00505454"/>
    <w:rsid w:val="00506450"/>
    <w:rsid w:val="00511C72"/>
    <w:rsid w:val="00511C75"/>
    <w:rsid w:val="005124AC"/>
    <w:rsid w:val="005129F8"/>
    <w:rsid w:val="00516736"/>
    <w:rsid w:val="00517E16"/>
    <w:rsid w:val="005216EE"/>
    <w:rsid w:val="00521FD5"/>
    <w:rsid w:val="005224D9"/>
    <w:rsid w:val="005232CF"/>
    <w:rsid w:val="00525213"/>
    <w:rsid w:val="00530B9C"/>
    <w:rsid w:val="0053158D"/>
    <w:rsid w:val="00531A7B"/>
    <w:rsid w:val="0053388B"/>
    <w:rsid w:val="005348E3"/>
    <w:rsid w:val="00536C7F"/>
    <w:rsid w:val="00537C34"/>
    <w:rsid w:val="00541988"/>
    <w:rsid w:val="00544084"/>
    <w:rsid w:val="005447BD"/>
    <w:rsid w:val="00545ACE"/>
    <w:rsid w:val="005469C0"/>
    <w:rsid w:val="00547004"/>
    <w:rsid w:val="0054700E"/>
    <w:rsid w:val="00547CB4"/>
    <w:rsid w:val="00547F06"/>
    <w:rsid w:val="00552E64"/>
    <w:rsid w:val="0055452D"/>
    <w:rsid w:val="00554A23"/>
    <w:rsid w:val="0055533F"/>
    <w:rsid w:val="00556BDC"/>
    <w:rsid w:val="0055785C"/>
    <w:rsid w:val="00557B11"/>
    <w:rsid w:val="0056281C"/>
    <w:rsid w:val="00562C79"/>
    <w:rsid w:val="0056483D"/>
    <w:rsid w:val="00565B53"/>
    <w:rsid w:val="005669CF"/>
    <w:rsid w:val="00570897"/>
    <w:rsid w:val="0057092F"/>
    <w:rsid w:val="005712FA"/>
    <w:rsid w:val="0057247F"/>
    <w:rsid w:val="00573283"/>
    <w:rsid w:val="00573ADB"/>
    <w:rsid w:val="00574C0B"/>
    <w:rsid w:val="00575AE4"/>
    <w:rsid w:val="005777D9"/>
    <w:rsid w:val="00580B9D"/>
    <w:rsid w:val="00581372"/>
    <w:rsid w:val="005819E2"/>
    <w:rsid w:val="00582CAA"/>
    <w:rsid w:val="00582CB2"/>
    <w:rsid w:val="00582D1E"/>
    <w:rsid w:val="00583867"/>
    <w:rsid w:val="005847DD"/>
    <w:rsid w:val="00584DB8"/>
    <w:rsid w:val="0058534D"/>
    <w:rsid w:val="0058571B"/>
    <w:rsid w:val="005863BA"/>
    <w:rsid w:val="005865DE"/>
    <w:rsid w:val="00586690"/>
    <w:rsid w:val="00591C44"/>
    <w:rsid w:val="0059203B"/>
    <w:rsid w:val="00594D41"/>
    <w:rsid w:val="00594E71"/>
    <w:rsid w:val="00596F80"/>
    <w:rsid w:val="005972E2"/>
    <w:rsid w:val="005A1B6E"/>
    <w:rsid w:val="005A2393"/>
    <w:rsid w:val="005A23D2"/>
    <w:rsid w:val="005A28D2"/>
    <w:rsid w:val="005A3D83"/>
    <w:rsid w:val="005A41A4"/>
    <w:rsid w:val="005A4662"/>
    <w:rsid w:val="005A5EEE"/>
    <w:rsid w:val="005A7114"/>
    <w:rsid w:val="005B0D35"/>
    <w:rsid w:val="005B24C2"/>
    <w:rsid w:val="005B4D48"/>
    <w:rsid w:val="005B52D7"/>
    <w:rsid w:val="005B74FB"/>
    <w:rsid w:val="005C111B"/>
    <w:rsid w:val="005C1695"/>
    <w:rsid w:val="005C2089"/>
    <w:rsid w:val="005C37A1"/>
    <w:rsid w:val="005C4A69"/>
    <w:rsid w:val="005C5DD3"/>
    <w:rsid w:val="005C7710"/>
    <w:rsid w:val="005D1FF0"/>
    <w:rsid w:val="005D305C"/>
    <w:rsid w:val="005D32D4"/>
    <w:rsid w:val="005D3825"/>
    <w:rsid w:val="005D4A1F"/>
    <w:rsid w:val="005D5B48"/>
    <w:rsid w:val="005D6FBC"/>
    <w:rsid w:val="005D77B8"/>
    <w:rsid w:val="005D7C37"/>
    <w:rsid w:val="005E2A60"/>
    <w:rsid w:val="005E2EA6"/>
    <w:rsid w:val="005E3630"/>
    <w:rsid w:val="005E49E2"/>
    <w:rsid w:val="005F05F9"/>
    <w:rsid w:val="005F0F8A"/>
    <w:rsid w:val="005F22FF"/>
    <w:rsid w:val="005F2FDE"/>
    <w:rsid w:val="005F3AE0"/>
    <w:rsid w:val="005F4563"/>
    <w:rsid w:val="005F464F"/>
    <w:rsid w:val="005F47E2"/>
    <w:rsid w:val="005F535F"/>
    <w:rsid w:val="005F6B26"/>
    <w:rsid w:val="00600B0D"/>
    <w:rsid w:val="0060130A"/>
    <w:rsid w:val="00605A23"/>
    <w:rsid w:val="00606180"/>
    <w:rsid w:val="00606AB2"/>
    <w:rsid w:val="0061033A"/>
    <w:rsid w:val="00610BFC"/>
    <w:rsid w:val="006113F3"/>
    <w:rsid w:val="00611B91"/>
    <w:rsid w:val="00611D43"/>
    <w:rsid w:val="00611F37"/>
    <w:rsid w:val="006130D1"/>
    <w:rsid w:val="00613292"/>
    <w:rsid w:val="00614862"/>
    <w:rsid w:val="006205A4"/>
    <w:rsid w:val="0062091F"/>
    <w:rsid w:val="00622DC7"/>
    <w:rsid w:val="00622FFB"/>
    <w:rsid w:val="00623D03"/>
    <w:rsid w:val="006244E4"/>
    <w:rsid w:val="006257C4"/>
    <w:rsid w:val="00626776"/>
    <w:rsid w:val="00627E28"/>
    <w:rsid w:val="00630410"/>
    <w:rsid w:val="006317AB"/>
    <w:rsid w:val="00632999"/>
    <w:rsid w:val="006337DD"/>
    <w:rsid w:val="00634495"/>
    <w:rsid w:val="00634A99"/>
    <w:rsid w:val="00635A3E"/>
    <w:rsid w:val="00637E7B"/>
    <w:rsid w:val="00641A4B"/>
    <w:rsid w:val="00642A36"/>
    <w:rsid w:val="00644ADD"/>
    <w:rsid w:val="00645BA3"/>
    <w:rsid w:val="006466FF"/>
    <w:rsid w:val="0064769D"/>
    <w:rsid w:val="006521B6"/>
    <w:rsid w:val="00652890"/>
    <w:rsid w:val="00652AE8"/>
    <w:rsid w:val="00652C96"/>
    <w:rsid w:val="00653CD3"/>
    <w:rsid w:val="00655CB9"/>
    <w:rsid w:val="00655F6B"/>
    <w:rsid w:val="006565D2"/>
    <w:rsid w:val="00656CA7"/>
    <w:rsid w:val="00657DDC"/>
    <w:rsid w:val="00660399"/>
    <w:rsid w:val="00661BCF"/>
    <w:rsid w:val="00667806"/>
    <w:rsid w:val="006701C2"/>
    <w:rsid w:val="006701FB"/>
    <w:rsid w:val="006703A4"/>
    <w:rsid w:val="00671FC4"/>
    <w:rsid w:val="0067392C"/>
    <w:rsid w:val="00674742"/>
    <w:rsid w:val="00674E41"/>
    <w:rsid w:val="00676D1E"/>
    <w:rsid w:val="00680E05"/>
    <w:rsid w:val="00682993"/>
    <w:rsid w:val="00682B8F"/>
    <w:rsid w:val="00683390"/>
    <w:rsid w:val="006856BE"/>
    <w:rsid w:val="00685B99"/>
    <w:rsid w:val="00686872"/>
    <w:rsid w:val="0069035F"/>
    <w:rsid w:val="00690CCD"/>
    <w:rsid w:val="006914ED"/>
    <w:rsid w:val="006919AC"/>
    <w:rsid w:val="00692A28"/>
    <w:rsid w:val="00693A0B"/>
    <w:rsid w:val="00693AF8"/>
    <w:rsid w:val="00693C80"/>
    <w:rsid w:val="006970F3"/>
    <w:rsid w:val="00697C0B"/>
    <w:rsid w:val="006A065E"/>
    <w:rsid w:val="006A09E4"/>
    <w:rsid w:val="006A1B1F"/>
    <w:rsid w:val="006A20CD"/>
    <w:rsid w:val="006A582E"/>
    <w:rsid w:val="006A5AFD"/>
    <w:rsid w:val="006A61CC"/>
    <w:rsid w:val="006A68E7"/>
    <w:rsid w:val="006A6F8A"/>
    <w:rsid w:val="006A726D"/>
    <w:rsid w:val="006B0202"/>
    <w:rsid w:val="006B0964"/>
    <w:rsid w:val="006B0A8F"/>
    <w:rsid w:val="006B24E1"/>
    <w:rsid w:val="006B33DE"/>
    <w:rsid w:val="006B3560"/>
    <w:rsid w:val="006B3828"/>
    <w:rsid w:val="006B3F0B"/>
    <w:rsid w:val="006B4886"/>
    <w:rsid w:val="006B4A3C"/>
    <w:rsid w:val="006B50E0"/>
    <w:rsid w:val="006B5195"/>
    <w:rsid w:val="006C04B6"/>
    <w:rsid w:val="006C1F11"/>
    <w:rsid w:val="006C265E"/>
    <w:rsid w:val="006C3615"/>
    <w:rsid w:val="006C4556"/>
    <w:rsid w:val="006C466B"/>
    <w:rsid w:val="006C4E8C"/>
    <w:rsid w:val="006C5F51"/>
    <w:rsid w:val="006C5F6B"/>
    <w:rsid w:val="006C633D"/>
    <w:rsid w:val="006C7819"/>
    <w:rsid w:val="006D0E1E"/>
    <w:rsid w:val="006D1B4A"/>
    <w:rsid w:val="006D25C2"/>
    <w:rsid w:val="006D293D"/>
    <w:rsid w:val="006D31E1"/>
    <w:rsid w:val="006D45B1"/>
    <w:rsid w:val="006D683A"/>
    <w:rsid w:val="006D7716"/>
    <w:rsid w:val="006E184C"/>
    <w:rsid w:val="006E1A12"/>
    <w:rsid w:val="006E29D0"/>
    <w:rsid w:val="006E4143"/>
    <w:rsid w:val="006E5E05"/>
    <w:rsid w:val="006E65D3"/>
    <w:rsid w:val="006E68A1"/>
    <w:rsid w:val="006E7D38"/>
    <w:rsid w:val="006F0BDE"/>
    <w:rsid w:val="006F1375"/>
    <w:rsid w:val="006F40CD"/>
    <w:rsid w:val="006F52C3"/>
    <w:rsid w:val="006F7859"/>
    <w:rsid w:val="006F7EA6"/>
    <w:rsid w:val="0070031D"/>
    <w:rsid w:val="0070043B"/>
    <w:rsid w:val="007015B7"/>
    <w:rsid w:val="007040E8"/>
    <w:rsid w:val="00704266"/>
    <w:rsid w:val="00705957"/>
    <w:rsid w:val="00706873"/>
    <w:rsid w:val="00706994"/>
    <w:rsid w:val="0070781E"/>
    <w:rsid w:val="00707D7B"/>
    <w:rsid w:val="00710506"/>
    <w:rsid w:val="0071099C"/>
    <w:rsid w:val="00711AEF"/>
    <w:rsid w:val="00711D64"/>
    <w:rsid w:val="007124D1"/>
    <w:rsid w:val="007138CD"/>
    <w:rsid w:val="007167CB"/>
    <w:rsid w:val="00716C71"/>
    <w:rsid w:val="007172CD"/>
    <w:rsid w:val="00717ECC"/>
    <w:rsid w:val="0072292D"/>
    <w:rsid w:val="00723496"/>
    <w:rsid w:val="00726DF9"/>
    <w:rsid w:val="00726FD7"/>
    <w:rsid w:val="00730E74"/>
    <w:rsid w:val="00731458"/>
    <w:rsid w:val="007320EE"/>
    <w:rsid w:val="0073366F"/>
    <w:rsid w:val="00733E57"/>
    <w:rsid w:val="0073438A"/>
    <w:rsid w:val="007345B4"/>
    <w:rsid w:val="007355FF"/>
    <w:rsid w:val="007364F3"/>
    <w:rsid w:val="007368A3"/>
    <w:rsid w:val="00737863"/>
    <w:rsid w:val="00740D96"/>
    <w:rsid w:val="00741243"/>
    <w:rsid w:val="00741CDE"/>
    <w:rsid w:val="007424FC"/>
    <w:rsid w:val="00744593"/>
    <w:rsid w:val="007447C3"/>
    <w:rsid w:val="00744FB3"/>
    <w:rsid w:val="007457B9"/>
    <w:rsid w:val="00746819"/>
    <w:rsid w:val="00746A2F"/>
    <w:rsid w:val="00750E2D"/>
    <w:rsid w:val="00752776"/>
    <w:rsid w:val="00752DE0"/>
    <w:rsid w:val="007533D9"/>
    <w:rsid w:val="007537DB"/>
    <w:rsid w:val="0075618B"/>
    <w:rsid w:val="007575AA"/>
    <w:rsid w:val="007610C6"/>
    <w:rsid w:val="00762BA9"/>
    <w:rsid w:val="007640EC"/>
    <w:rsid w:val="00764398"/>
    <w:rsid w:val="00764745"/>
    <w:rsid w:val="007654F1"/>
    <w:rsid w:val="007658D8"/>
    <w:rsid w:val="00766CA1"/>
    <w:rsid w:val="007677D2"/>
    <w:rsid w:val="00770B39"/>
    <w:rsid w:val="00770DFC"/>
    <w:rsid w:val="00771B6D"/>
    <w:rsid w:val="00771C19"/>
    <w:rsid w:val="00771DFD"/>
    <w:rsid w:val="00772B34"/>
    <w:rsid w:val="007745B6"/>
    <w:rsid w:val="00776F78"/>
    <w:rsid w:val="007775E0"/>
    <w:rsid w:val="007801E8"/>
    <w:rsid w:val="0078088B"/>
    <w:rsid w:val="00783C38"/>
    <w:rsid w:val="007840AA"/>
    <w:rsid w:val="007858FB"/>
    <w:rsid w:val="0078677F"/>
    <w:rsid w:val="007920B3"/>
    <w:rsid w:val="007922AA"/>
    <w:rsid w:val="00792309"/>
    <w:rsid w:val="007934A2"/>
    <w:rsid w:val="0079391F"/>
    <w:rsid w:val="00793EE9"/>
    <w:rsid w:val="007940D0"/>
    <w:rsid w:val="007948F5"/>
    <w:rsid w:val="00794FE0"/>
    <w:rsid w:val="00797F11"/>
    <w:rsid w:val="007A14D1"/>
    <w:rsid w:val="007A25CF"/>
    <w:rsid w:val="007A2D65"/>
    <w:rsid w:val="007A2FAD"/>
    <w:rsid w:val="007A5113"/>
    <w:rsid w:val="007A5B83"/>
    <w:rsid w:val="007A63CF"/>
    <w:rsid w:val="007A6CAB"/>
    <w:rsid w:val="007A708C"/>
    <w:rsid w:val="007A758F"/>
    <w:rsid w:val="007B0A4D"/>
    <w:rsid w:val="007B375C"/>
    <w:rsid w:val="007B3F70"/>
    <w:rsid w:val="007B5EAC"/>
    <w:rsid w:val="007B70BC"/>
    <w:rsid w:val="007C058F"/>
    <w:rsid w:val="007C2DC8"/>
    <w:rsid w:val="007C49A9"/>
    <w:rsid w:val="007C6D57"/>
    <w:rsid w:val="007C7900"/>
    <w:rsid w:val="007D24CD"/>
    <w:rsid w:val="007D4012"/>
    <w:rsid w:val="007D4C2A"/>
    <w:rsid w:val="007D724F"/>
    <w:rsid w:val="007E242E"/>
    <w:rsid w:val="007E2901"/>
    <w:rsid w:val="007E2988"/>
    <w:rsid w:val="007E2BCC"/>
    <w:rsid w:val="007E33CD"/>
    <w:rsid w:val="007E4E09"/>
    <w:rsid w:val="007E5DCD"/>
    <w:rsid w:val="007E6176"/>
    <w:rsid w:val="007E6687"/>
    <w:rsid w:val="007F060B"/>
    <w:rsid w:val="007F14AF"/>
    <w:rsid w:val="007F2EC2"/>
    <w:rsid w:val="007F308A"/>
    <w:rsid w:val="008005BB"/>
    <w:rsid w:val="00801E4C"/>
    <w:rsid w:val="008057B5"/>
    <w:rsid w:val="00805D91"/>
    <w:rsid w:val="00805EA2"/>
    <w:rsid w:val="00806403"/>
    <w:rsid w:val="00807445"/>
    <w:rsid w:val="00812CAA"/>
    <w:rsid w:val="008136D3"/>
    <w:rsid w:val="00813E83"/>
    <w:rsid w:val="008160DE"/>
    <w:rsid w:val="00816FA0"/>
    <w:rsid w:val="0081730A"/>
    <w:rsid w:val="00821ED8"/>
    <w:rsid w:val="008233C1"/>
    <w:rsid w:val="00823B1F"/>
    <w:rsid w:val="00824087"/>
    <w:rsid w:val="008242B0"/>
    <w:rsid w:val="00824575"/>
    <w:rsid w:val="00824EAC"/>
    <w:rsid w:val="008264BC"/>
    <w:rsid w:val="0082724E"/>
    <w:rsid w:val="0083005F"/>
    <w:rsid w:val="008302C4"/>
    <w:rsid w:val="00830307"/>
    <w:rsid w:val="00832492"/>
    <w:rsid w:val="00832CE8"/>
    <w:rsid w:val="00833F91"/>
    <w:rsid w:val="00834B77"/>
    <w:rsid w:val="00835AB1"/>
    <w:rsid w:val="00835F63"/>
    <w:rsid w:val="0084349B"/>
    <w:rsid w:val="00843D80"/>
    <w:rsid w:val="00844048"/>
    <w:rsid w:val="008447BA"/>
    <w:rsid w:val="008455F9"/>
    <w:rsid w:val="0084660E"/>
    <w:rsid w:val="00846C8A"/>
    <w:rsid w:val="00852051"/>
    <w:rsid w:val="008542D1"/>
    <w:rsid w:val="00861A71"/>
    <w:rsid w:val="00862836"/>
    <w:rsid w:val="00863308"/>
    <w:rsid w:val="00864149"/>
    <w:rsid w:val="008679FF"/>
    <w:rsid w:val="00870E8E"/>
    <w:rsid w:val="00873971"/>
    <w:rsid w:val="00875776"/>
    <w:rsid w:val="00875EE2"/>
    <w:rsid w:val="008764D8"/>
    <w:rsid w:val="008765A5"/>
    <w:rsid w:val="008768BF"/>
    <w:rsid w:val="008775B1"/>
    <w:rsid w:val="008777CF"/>
    <w:rsid w:val="00880CCD"/>
    <w:rsid w:val="00884C10"/>
    <w:rsid w:val="00884E46"/>
    <w:rsid w:val="008855B2"/>
    <w:rsid w:val="00887FAA"/>
    <w:rsid w:val="00891FC3"/>
    <w:rsid w:val="0089315D"/>
    <w:rsid w:val="00893802"/>
    <w:rsid w:val="00894289"/>
    <w:rsid w:val="00894923"/>
    <w:rsid w:val="0089504E"/>
    <w:rsid w:val="008951E8"/>
    <w:rsid w:val="008952EC"/>
    <w:rsid w:val="008953BC"/>
    <w:rsid w:val="00895880"/>
    <w:rsid w:val="00896298"/>
    <w:rsid w:val="00897D7D"/>
    <w:rsid w:val="008A0A5F"/>
    <w:rsid w:val="008A1349"/>
    <w:rsid w:val="008A1527"/>
    <w:rsid w:val="008A2EFF"/>
    <w:rsid w:val="008A3D12"/>
    <w:rsid w:val="008A4804"/>
    <w:rsid w:val="008A65F9"/>
    <w:rsid w:val="008A673F"/>
    <w:rsid w:val="008A6E19"/>
    <w:rsid w:val="008A7003"/>
    <w:rsid w:val="008B0AE3"/>
    <w:rsid w:val="008B0D8F"/>
    <w:rsid w:val="008B171D"/>
    <w:rsid w:val="008B1EEE"/>
    <w:rsid w:val="008B2756"/>
    <w:rsid w:val="008B299D"/>
    <w:rsid w:val="008B2A92"/>
    <w:rsid w:val="008B46CA"/>
    <w:rsid w:val="008B4E85"/>
    <w:rsid w:val="008B6E7E"/>
    <w:rsid w:val="008B7726"/>
    <w:rsid w:val="008C0317"/>
    <w:rsid w:val="008C0755"/>
    <w:rsid w:val="008C0C14"/>
    <w:rsid w:val="008C54A4"/>
    <w:rsid w:val="008C6F28"/>
    <w:rsid w:val="008C7470"/>
    <w:rsid w:val="008D1E10"/>
    <w:rsid w:val="008D4CE2"/>
    <w:rsid w:val="008D6FE0"/>
    <w:rsid w:val="008E0E26"/>
    <w:rsid w:val="008E1FCC"/>
    <w:rsid w:val="008E33D3"/>
    <w:rsid w:val="008E4382"/>
    <w:rsid w:val="008E4722"/>
    <w:rsid w:val="008E4861"/>
    <w:rsid w:val="008E5BD0"/>
    <w:rsid w:val="008E6171"/>
    <w:rsid w:val="008E6874"/>
    <w:rsid w:val="008E7DEC"/>
    <w:rsid w:val="008F0D35"/>
    <w:rsid w:val="008F0D62"/>
    <w:rsid w:val="008F13D8"/>
    <w:rsid w:val="008F183F"/>
    <w:rsid w:val="008F2E93"/>
    <w:rsid w:val="008F3EFE"/>
    <w:rsid w:val="008F4232"/>
    <w:rsid w:val="008F4B48"/>
    <w:rsid w:val="008F6378"/>
    <w:rsid w:val="008F6946"/>
    <w:rsid w:val="008F73A6"/>
    <w:rsid w:val="008F7972"/>
    <w:rsid w:val="009012DB"/>
    <w:rsid w:val="00905B95"/>
    <w:rsid w:val="0090719A"/>
    <w:rsid w:val="009075F4"/>
    <w:rsid w:val="00915336"/>
    <w:rsid w:val="0091622A"/>
    <w:rsid w:val="00916296"/>
    <w:rsid w:val="009165BA"/>
    <w:rsid w:val="009179D1"/>
    <w:rsid w:val="00920D12"/>
    <w:rsid w:val="009217B2"/>
    <w:rsid w:val="00922A82"/>
    <w:rsid w:val="00922DD5"/>
    <w:rsid w:val="00925330"/>
    <w:rsid w:val="0093170F"/>
    <w:rsid w:val="009321FD"/>
    <w:rsid w:val="00932249"/>
    <w:rsid w:val="00934296"/>
    <w:rsid w:val="009354BD"/>
    <w:rsid w:val="00936925"/>
    <w:rsid w:val="00937E63"/>
    <w:rsid w:val="009411D3"/>
    <w:rsid w:val="009412B4"/>
    <w:rsid w:val="00941303"/>
    <w:rsid w:val="00942BD0"/>
    <w:rsid w:val="0094379A"/>
    <w:rsid w:val="0094413A"/>
    <w:rsid w:val="00944231"/>
    <w:rsid w:val="0094454C"/>
    <w:rsid w:val="00944937"/>
    <w:rsid w:val="009450CB"/>
    <w:rsid w:val="009467B6"/>
    <w:rsid w:val="0095299E"/>
    <w:rsid w:val="00956263"/>
    <w:rsid w:val="00960E85"/>
    <w:rsid w:val="009632C7"/>
    <w:rsid w:val="009652FF"/>
    <w:rsid w:val="00967F37"/>
    <w:rsid w:val="00972EA8"/>
    <w:rsid w:val="009738EC"/>
    <w:rsid w:val="00975B74"/>
    <w:rsid w:val="00982C39"/>
    <w:rsid w:val="00982F46"/>
    <w:rsid w:val="00984D24"/>
    <w:rsid w:val="00985181"/>
    <w:rsid w:val="0098686A"/>
    <w:rsid w:val="00987277"/>
    <w:rsid w:val="00987B6F"/>
    <w:rsid w:val="00987C42"/>
    <w:rsid w:val="0099225D"/>
    <w:rsid w:val="009948D7"/>
    <w:rsid w:val="00995424"/>
    <w:rsid w:val="00995AA9"/>
    <w:rsid w:val="009964A4"/>
    <w:rsid w:val="0099666E"/>
    <w:rsid w:val="009966A5"/>
    <w:rsid w:val="00996700"/>
    <w:rsid w:val="00996756"/>
    <w:rsid w:val="009970B3"/>
    <w:rsid w:val="009A00FE"/>
    <w:rsid w:val="009A041C"/>
    <w:rsid w:val="009A0533"/>
    <w:rsid w:val="009A2663"/>
    <w:rsid w:val="009A6210"/>
    <w:rsid w:val="009A6330"/>
    <w:rsid w:val="009A67B9"/>
    <w:rsid w:val="009A67DF"/>
    <w:rsid w:val="009A700C"/>
    <w:rsid w:val="009B053D"/>
    <w:rsid w:val="009B05B1"/>
    <w:rsid w:val="009B07BC"/>
    <w:rsid w:val="009B1C3A"/>
    <w:rsid w:val="009B27E2"/>
    <w:rsid w:val="009B2A47"/>
    <w:rsid w:val="009B6736"/>
    <w:rsid w:val="009C0D63"/>
    <w:rsid w:val="009C2506"/>
    <w:rsid w:val="009C38AB"/>
    <w:rsid w:val="009C508D"/>
    <w:rsid w:val="009C5174"/>
    <w:rsid w:val="009C69E7"/>
    <w:rsid w:val="009D0860"/>
    <w:rsid w:val="009D1F6D"/>
    <w:rsid w:val="009D2CA4"/>
    <w:rsid w:val="009D4712"/>
    <w:rsid w:val="009D4B51"/>
    <w:rsid w:val="009D4D86"/>
    <w:rsid w:val="009D736E"/>
    <w:rsid w:val="009D75F9"/>
    <w:rsid w:val="009E0507"/>
    <w:rsid w:val="009E28F0"/>
    <w:rsid w:val="009E3251"/>
    <w:rsid w:val="009E40A4"/>
    <w:rsid w:val="009E4A25"/>
    <w:rsid w:val="009E4EAA"/>
    <w:rsid w:val="009E668D"/>
    <w:rsid w:val="009E6B51"/>
    <w:rsid w:val="009E776E"/>
    <w:rsid w:val="009F00E5"/>
    <w:rsid w:val="009F0293"/>
    <w:rsid w:val="009F0749"/>
    <w:rsid w:val="009F142C"/>
    <w:rsid w:val="009F1E4A"/>
    <w:rsid w:val="009F21BA"/>
    <w:rsid w:val="009F2229"/>
    <w:rsid w:val="009F2899"/>
    <w:rsid w:val="009F3D4B"/>
    <w:rsid w:val="009F6737"/>
    <w:rsid w:val="00A0106E"/>
    <w:rsid w:val="00A029D4"/>
    <w:rsid w:val="00A04068"/>
    <w:rsid w:val="00A0546B"/>
    <w:rsid w:val="00A059F0"/>
    <w:rsid w:val="00A06A1B"/>
    <w:rsid w:val="00A06B68"/>
    <w:rsid w:val="00A10CA7"/>
    <w:rsid w:val="00A11A26"/>
    <w:rsid w:val="00A12187"/>
    <w:rsid w:val="00A13408"/>
    <w:rsid w:val="00A153EB"/>
    <w:rsid w:val="00A15EE6"/>
    <w:rsid w:val="00A176BF"/>
    <w:rsid w:val="00A222C6"/>
    <w:rsid w:val="00A23837"/>
    <w:rsid w:val="00A23A06"/>
    <w:rsid w:val="00A23FC1"/>
    <w:rsid w:val="00A248EF"/>
    <w:rsid w:val="00A24F91"/>
    <w:rsid w:val="00A27106"/>
    <w:rsid w:val="00A2747E"/>
    <w:rsid w:val="00A27C8C"/>
    <w:rsid w:val="00A30FC7"/>
    <w:rsid w:val="00A31B39"/>
    <w:rsid w:val="00A332B7"/>
    <w:rsid w:val="00A340B7"/>
    <w:rsid w:val="00A344C6"/>
    <w:rsid w:val="00A3457C"/>
    <w:rsid w:val="00A35DE7"/>
    <w:rsid w:val="00A36512"/>
    <w:rsid w:val="00A36933"/>
    <w:rsid w:val="00A403F2"/>
    <w:rsid w:val="00A407FD"/>
    <w:rsid w:val="00A4193C"/>
    <w:rsid w:val="00A4200D"/>
    <w:rsid w:val="00A42E49"/>
    <w:rsid w:val="00A43F32"/>
    <w:rsid w:val="00A456C3"/>
    <w:rsid w:val="00A45C15"/>
    <w:rsid w:val="00A471BD"/>
    <w:rsid w:val="00A50119"/>
    <w:rsid w:val="00A51DF3"/>
    <w:rsid w:val="00A53FB2"/>
    <w:rsid w:val="00A5438A"/>
    <w:rsid w:val="00A54545"/>
    <w:rsid w:val="00A54B7B"/>
    <w:rsid w:val="00A553B4"/>
    <w:rsid w:val="00A5675A"/>
    <w:rsid w:val="00A56AA0"/>
    <w:rsid w:val="00A5713A"/>
    <w:rsid w:val="00A60034"/>
    <w:rsid w:val="00A61EF4"/>
    <w:rsid w:val="00A6206A"/>
    <w:rsid w:val="00A62BAC"/>
    <w:rsid w:val="00A62D67"/>
    <w:rsid w:val="00A63876"/>
    <w:rsid w:val="00A63E71"/>
    <w:rsid w:val="00A64546"/>
    <w:rsid w:val="00A64692"/>
    <w:rsid w:val="00A65D4A"/>
    <w:rsid w:val="00A66953"/>
    <w:rsid w:val="00A66B5F"/>
    <w:rsid w:val="00A7150E"/>
    <w:rsid w:val="00A729C6"/>
    <w:rsid w:val="00A74551"/>
    <w:rsid w:val="00A74CB4"/>
    <w:rsid w:val="00A76B34"/>
    <w:rsid w:val="00A8022E"/>
    <w:rsid w:val="00A809EC"/>
    <w:rsid w:val="00A80A49"/>
    <w:rsid w:val="00A82692"/>
    <w:rsid w:val="00A82B93"/>
    <w:rsid w:val="00A869D7"/>
    <w:rsid w:val="00A87589"/>
    <w:rsid w:val="00A916C0"/>
    <w:rsid w:val="00A93861"/>
    <w:rsid w:val="00A949A6"/>
    <w:rsid w:val="00A95527"/>
    <w:rsid w:val="00A95DDB"/>
    <w:rsid w:val="00A95EC6"/>
    <w:rsid w:val="00AA0893"/>
    <w:rsid w:val="00AA14B0"/>
    <w:rsid w:val="00AA2940"/>
    <w:rsid w:val="00AA3FB8"/>
    <w:rsid w:val="00AA4105"/>
    <w:rsid w:val="00AA488D"/>
    <w:rsid w:val="00AA585C"/>
    <w:rsid w:val="00AA76D7"/>
    <w:rsid w:val="00AB09C1"/>
    <w:rsid w:val="00AB183C"/>
    <w:rsid w:val="00AB189C"/>
    <w:rsid w:val="00AB3187"/>
    <w:rsid w:val="00AB528E"/>
    <w:rsid w:val="00AC0FDB"/>
    <w:rsid w:val="00AC1C8D"/>
    <w:rsid w:val="00AC2899"/>
    <w:rsid w:val="00AC2DAB"/>
    <w:rsid w:val="00AC3582"/>
    <w:rsid w:val="00AC40C1"/>
    <w:rsid w:val="00AC5FEF"/>
    <w:rsid w:val="00AD0D60"/>
    <w:rsid w:val="00AD281C"/>
    <w:rsid w:val="00AD3B53"/>
    <w:rsid w:val="00AD4696"/>
    <w:rsid w:val="00AD688F"/>
    <w:rsid w:val="00AD6D0B"/>
    <w:rsid w:val="00AE0496"/>
    <w:rsid w:val="00AE0A8A"/>
    <w:rsid w:val="00AE22D9"/>
    <w:rsid w:val="00AE3A6C"/>
    <w:rsid w:val="00AE40CC"/>
    <w:rsid w:val="00AF3366"/>
    <w:rsid w:val="00AF3E8C"/>
    <w:rsid w:val="00AF43F3"/>
    <w:rsid w:val="00AF527B"/>
    <w:rsid w:val="00B00AA7"/>
    <w:rsid w:val="00B00BC2"/>
    <w:rsid w:val="00B00C85"/>
    <w:rsid w:val="00B0105F"/>
    <w:rsid w:val="00B02455"/>
    <w:rsid w:val="00B035C9"/>
    <w:rsid w:val="00B04148"/>
    <w:rsid w:val="00B042C5"/>
    <w:rsid w:val="00B05939"/>
    <w:rsid w:val="00B0616F"/>
    <w:rsid w:val="00B06842"/>
    <w:rsid w:val="00B0736B"/>
    <w:rsid w:val="00B07DC8"/>
    <w:rsid w:val="00B103C7"/>
    <w:rsid w:val="00B10444"/>
    <w:rsid w:val="00B1384E"/>
    <w:rsid w:val="00B1392B"/>
    <w:rsid w:val="00B16B3B"/>
    <w:rsid w:val="00B1786C"/>
    <w:rsid w:val="00B2043C"/>
    <w:rsid w:val="00B20D70"/>
    <w:rsid w:val="00B21041"/>
    <w:rsid w:val="00B228B8"/>
    <w:rsid w:val="00B2423F"/>
    <w:rsid w:val="00B25F10"/>
    <w:rsid w:val="00B26D96"/>
    <w:rsid w:val="00B26EA3"/>
    <w:rsid w:val="00B30915"/>
    <w:rsid w:val="00B317B6"/>
    <w:rsid w:val="00B32331"/>
    <w:rsid w:val="00B33B1E"/>
    <w:rsid w:val="00B33DB3"/>
    <w:rsid w:val="00B350AC"/>
    <w:rsid w:val="00B35CBF"/>
    <w:rsid w:val="00B35E21"/>
    <w:rsid w:val="00B37601"/>
    <w:rsid w:val="00B4058B"/>
    <w:rsid w:val="00B4434E"/>
    <w:rsid w:val="00B445A7"/>
    <w:rsid w:val="00B445E8"/>
    <w:rsid w:val="00B446DE"/>
    <w:rsid w:val="00B456D8"/>
    <w:rsid w:val="00B459D1"/>
    <w:rsid w:val="00B46C34"/>
    <w:rsid w:val="00B4729A"/>
    <w:rsid w:val="00B47757"/>
    <w:rsid w:val="00B51924"/>
    <w:rsid w:val="00B51EC6"/>
    <w:rsid w:val="00B541B9"/>
    <w:rsid w:val="00B5555A"/>
    <w:rsid w:val="00B55D1F"/>
    <w:rsid w:val="00B608D1"/>
    <w:rsid w:val="00B6229D"/>
    <w:rsid w:val="00B62406"/>
    <w:rsid w:val="00B625BA"/>
    <w:rsid w:val="00B6486C"/>
    <w:rsid w:val="00B7020D"/>
    <w:rsid w:val="00B71775"/>
    <w:rsid w:val="00B721D5"/>
    <w:rsid w:val="00B72CC1"/>
    <w:rsid w:val="00B7465A"/>
    <w:rsid w:val="00B76CDF"/>
    <w:rsid w:val="00B805EA"/>
    <w:rsid w:val="00B8141B"/>
    <w:rsid w:val="00B82D52"/>
    <w:rsid w:val="00B84840"/>
    <w:rsid w:val="00B84AD7"/>
    <w:rsid w:val="00B8519B"/>
    <w:rsid w:val="00B851A0"/>
    <w:rsid w:val="00B86004"/>
    <w:rsid w:val="00B86130"/>
    <w:rsid w:val="00B870C4"/>
    <w:rsid w:val="00B92ADE"/>
    <w:rsid w:val="00B93050"/>
    <w:rsid w:val="00B9319F"/>
    <w:rsid w:val="00B9351D"/>
    <w:rsid w:val="00B939A7"/>
    <w:rsid w:val="00B9512C"/>
    <w:rsid w:val="00B958AE"/>
    <w:rsid w:val="00B95D14"/>
    <w:rsid w:val="00B97617"/>
    <w:rsid w:val="00BA151F"/>
    <w:rsid w:val="00BA1CA8"/>
    <w:rsid w:val="00BA35C3"/>
    <w:rsid w:val="00BA3E5D"/>
    <w:rsid w:val="00BA4253"/>
    <w:rsid w:val="00BA48A3"/>
    <w:rsid w:val="00BA4D48"/>
    <w:rsid w:val="00BA5CF8"/>
    <w:rsid w:val="00BA5F5B"/>
    <w:rsid w:val="00BA6030"/>
    <w:rsid w:val="00BA6BC8"/>
    <w:rsid w:val="00BA7844"/>
    <w:rsid w:val="00BA79E8"/>
    <w:rsid w:val="00BB016C"/>
    <w:rsid w:val="00BB0DC6"/>
    <w:rsid w:val="00BB1BAC"/>
    <w:rsid w:val="00BB4E37"/>
    <w:rsid w:val="00BB7EE9"/>
    <w:rsid w:val="00BC237A"/>
    <w:rsid w:val="00BC24B9"/>
    <w:rsid w:val="00BC3D84"/>
    <w:rsid w:val="00BC72F5"/>
    <w:rsid w:val="00BD085D"/>
    <w:rsid w:val="00BD092A"/>
    <w:rsid w:val="00BD2A62"/>
    <w:rsid w:val="00BD2AB3"/>
    <w:rsid w:val="00BD3F3B"/>
    <w:rsid w:val="00BD4588"/>
    <w:rsid w:val="00BD48D5"/>
    <w:rsid w:val="00BD4DC6"/>
    <w:rsid w:val="00BD507E"/>
    <w:rsid w:val="00BD50E8"/>
    <w:rsid w:val="00BD5CE9"/>
    <w:rsid w:val="00BD5FF7"/>
    <w:rsid w:val="00BD6B0B"/>
    <w:rsid w:val="00BD722F"/>
    <w:rsid w:val="00BD72C2"/>
    <w:rsid w:val="00BD74FF"/>
    <w:rsid w:val="00BD766F"/>
    <w:rsid w:val="00BD7749"/>
    <w:rsid w:val="00BD7C30"/>
    <w:rsid w:val="00BE0A25"/>
    <w:rsid w:val="00BE1455"/>
    <w:rsid w:val="00BE38B0"/>
    <w:rsid w:val="00BE3971"/>
    <w:rsid w:val="00BE543C"/>
    <w:rsid w:val="00BE54FA"/>
    <w:rsid w:val="00BE5A2F"/>
    <w:rsid w:val="00BE77F8"/>
    <w:rsid w:val="00BE7AA8"/>
    <w:rsid w:val="00BF02CB"/>
    <w:rsid w:val="00BF0EC1"/>
    <w:rsid w:val="00BF0F76"/>
    <w:rsid w:val="00BF2A29"/>
    <w:rsid w:val="00BF3EE0"/>
    <w:rsid w:val="00BF649F"/>
    <w:rsid w:val="00BF72D2"/>
    <w:rsid w:val="00C00025"/>
    <w:rsid w:val="00C001B6"/>
    <w:rsid w:val="00C00BB7"/>
    <w:rsid w:val="00C02043"/>
    <w:rsid w:val="00C03FB4"/>
    <w:rsid w:val="00C0458C"/>
    <w:rsid w:val="00C049A3"/>
    <w:rsid w:val="00C04CE0"/>
    <w:rsid w:val="00C04F95"/>
    <w:rsid w:val="00C05C8B"/>
    <w:rsid w:val="00C06587"/>
    <w:rsid w:val="00C07C18"/>
    <w:rsid w:val="00C12A11"/>
    <w:rsid w:val="00C136B1"/>
    <w:rsid w:val="00C14676"/>
    <w:rsid w:val="00C15446"/>
    <w:rsid w:val="00C1653E"/>
    <w:rsid w:val="00C1672A"/>
    <w:rsid w:val="00C179A8"/>
    <w:rsid w:val="00C202BA"/>
    <w:rsid w:val="00C22183"/>
    <w:rsid w:val="00C23491"/>
    <w:rsid w:val="00C23B1A"/>
    <w:rsid w:val="00C23F4C"/>
    <w:rsid w:val="00C256AA"/>
    <w:rsid w:val="00C26ED8"/>
    <w:rsid w:val="00C27018"/>
    <w:rsid w:val="00C31123"/>
    <w:rsid w:val="00C31B8D"/>
    <w:rsid w:val="00C31FAA"/>
    <w:rsid w:val="00C32275"/>
    <w:rsid w:val="00C32999"/>
    <w:rsid w:val="00C335F9"/>
    <w:rsid w:val="00C3377E"/>
    <w:rsid w:val="00C33FD0"/>
    <w:rsid w:val="00C354A5"/>
    <w:rsid w:val="00C359CE"/>
    <w:rsid w:val="00C366BE"/>
    <w:rsid w:val="00C36913"/>
    <w:rsid w:val="00C375B0"/>
    <w:rsid w:val="00C40395"/>
    <w:rsid w:val="00C40734"/>
    <w:rsid w:val="00C40768"/>
    <w:rsid w:val="00C40A59"/>
    <w:rsid w:val="00C40E20"/>
    <w:rsid w:val="00C42265"/>
    <w:rsid w:val="00C426BF"/>
    <w:rsid w:val="00C44D90"/>
    <w:rsid w:val="00C45C9F"/>
    <w:rsid w:val="00C45F69"/>
    <w:rsid w:val="00C50135"/>
    <w:rsid w:val="00C50981"/>
    <w:rsid w:val="00C51394"/>
    <w:rsid w:val="00C5352D"/>
    <w:rsid w:val="00C53BD7"/>
    <w:rsid w:val="00C53BFE"/>
    <w:rsid w:val="00C54BA2"/>
    <w:rsid w:val="00C56782"/>
    <w:rsid w:val="00C602A6"/>
    <w:rsid w:val="00C63149"/>
    <w:rsid w:val="00C63519"/>
    <w:rsid w:val="00C65F02"/>
    <w:rsid w:val="00C6700B"/>
    <w:rsid w:val="00C6761A"/>
    <w:rsid w:val="00C6775E"/>
    <w:rsid w:val="00C67BFC"/>
    <w:rsid w:val="00C70270"/>
    <w:rsid w:val="00C7111F"/>
    <w:rsid w:val="00C712C1"/>
    <w:rsid w:val="00C71676"/>
    <w:rsid w:val="00C72831"/>
    <w:rsid w:val="00C72DC6"/>
    <w:rsid w:val="00C73B86"/>
    <w:rsid w:val="00C7516B"/>
    <w:rsid w:val="00C75236"/>
    <w:rsid w:val="00C76DA2"/>
    <w:rsid w:val="00C816DA"/>
    <w:rsid w:val="00C8379C"/>
    <w:rsid w:val="00C83B32"/>
    <w:rsid w:val="00C85019"/>
    <w:rsid w:val="00C85417"/>
    <w:rsid w:val="00C8666B"/>
    <w:rsid w:val="00C8797C"/>
    <w:rsid w:val="00C87F76"/>
    <w:rsid w:val="00C90344"/>
    <w:rsid w:val="00C91204"/>
    <w:rsid w:val="00C91290"/>
    <w:rsid w:val="00C9225F"/>
    <w:rsid w:val="00C9251F"/>
    <w:rsid w:val="00C95903"/>
    <w:rsid w:val="00C96356"/>
    <w:rsid w:val="00CA0779"/>
    <w:rsid w:val="00CA111E"/>
    <w:rsid w:val="00CA20B3"/>
    <w:rsid w:val="00CA398A"/>
    <w:rsid w:val="00CA41BF"/>
    <w:rsid w:val="00CA5FA0"/>
    <w:rsid w:val="00CA62F9"/>
    <w:rsid w:val="00CB0E96"/>
    <w:rsid w:val="00CB2673"/>
    <w:rsid w:val="00CB2816"/>
    <w:rsid w:val="00CB358E"/>
    <w:rsid w:val="00CB3D22"/>
    <w:rsid w:val="00CB3F71"/>
    <w:rsid w:val="00CB4583"/>
    <w:rsid w:val="00CB4B51"/>
    <w:rsid w:val="00CB5A2D"/>
    <w:rsid w:val="00CB6B42"/>
    <w:rsid w:val="00CB7271"/>
    <w:rsid w:val="00CB77BE"/>
    <w:rsid w:val="00CC1A44"/>
    <w:rsid w:val="00CC2762"/>
    <w:rsid w:val="00CC2F70"/>
    <w:rsid w:val="00CC4204"/>
    <w:rsid w:val="00CC517A"/>
    <w:rsid w:val="00CC70F1"/>
    <w:rsid w:val="00CD0158"/>
    <w:rsid w:val="00CD04E9"/>
    <w:rsid w:val="00CD1C61"/>
    <w:rsid w:val="00CD2005"/>
    <w:rsid w:val="00CD29F2"/>
    <w:rsid w:val="00CD3D7C"/>
    <w:rsid w:val="00CD5D09"/>
    <w:rsid w:val="00CD620D"/>
    <w:rsid w:val="00CD661F"/>
    <w:rsid w:val="00CD7302"/>
    <w:rsid w:val="00CE0711"/>
    <w:rsid w:val="00CE0DCB"/>
    <w:rsid w:val="00CE1720"/>
    <w:rsid w:val="00CE1F42"/>
    <w:rsid w:val="00CE23BD"/>
    <w:rsid w:val="00CE3292"/>
    <w:rsid w:val="00CE35F9"/>
    <w:rsid w:val="00CE3B89"/>
    <w:rsid w:val="00CE52D0"/>
    <w:rsid w:val="00CE56CD"/>
    <w:rsid w:val="00CE613D"/>
    <w:rsid w:val="00CE61FA"/>
    <w:rsid w:val="00CE6787"/>
    <w:rsid w:val="00CE69F7"/>
    <w:rsid w:val="00CE6F9C"/>
    <w:rsid w:val="00CE7647"/>
    <w:rsid w:val="00CF38BE"/>
    <w:rsid w:val="00CF5129"/>
    <w:rsid w:val="00CF6DC8"/>
    <w:rsid w:val="00CF7212"/>
    <w:rsid w:val="00D0179B"/>
    <w:rsid w:val="00D02B5B"/>
    <w:rsid w:val="00D03D72"/>
    <w:rsid w:val="00D04234"/>
    <w:rsid w:val="00D0461D"/>
    <w:rsid w:val="00D07ACF"/>
    <w:rsid w:val="00D10A50"/>
    <w:rsid w:val="00D11A05"/>
    <w:rsid w:val="00D12071"/>
    <w:rsid w:val="00D13768"/>
    <w:rsid w:val="00D13997"/>
    <w:rsid w:val="00D1470F"/>
    <w:rsid w:val="00D15701"/>
    <w:rsid w:val="00D15EB2"/>
    <w:rsid w:val="00D15F36"/>
    <w:rsid w:val="00D17704"/>
    <w:rsid w:val="00D20C75"/>
    <w:rsid w:val="00D21C2C"/>
    <w:rsid w:val="00D244C8"/>
    <w:rsid w:val="00D26BD3"/>
    <w:rsid w:val="00D26D28"/>
    <w:rsid w:val="00D2769F"/>
    <w:rsid w:val="00D30489"/>
    <w:rsid w:val="00D30C98"/>
    <w:rsid w:val="00D3176B"/>
    <w:rsid w:val="00D31D50"/>
    <w:rsid w:val="00D31F96"/>
    <w:rsid w:val="00D339F0"/>
    <w:rsid w:val="00D34436"/>
    <w:rsid w:val="00D36DE3"/>
    <w:rsid w:val="00D37558"/>
    <w:rsid w:val="00D400F4"/>
    <w:rsid w:val="00D411CC"/>
    <w:rsid w:val="00D41B30"/>
    <w:rsid w:val="00D41C99"/>
    <w:rsid w:val="00D44FD7"/>
    <w:rsid w:val="00D450A7"/>
    <w:rsid w:val="00D45D3D"/>
    <w:rsid w:val="00D45D99"/>
    <w:rsid w:val="00D47393"/>
    <w:rsid w:val="00D47ADE"/>
    <w:rsid w:val="00D503B0"/>
    <w:rsid w:val="00D50ACC"/>
    <w:rsid w:val="00D51284"/>
    <w:rsid w:val="00D515A9"/>
    <w:rsid w:val="00D51AB4"/>
    <w:rsid w:val="00D523B5"/>
    <w:rsid w:val="00D52577"/>
    <w:rsid w:val="00D52943"/>
    <w:rsid w:val="00D53A37"/>
    <w:rsid w:val="00D53D38"/>
    <w:rsid w:val="00D5457A"/>
    <w:rsid w:val="00D545FA"/>
    <w:rsid w:val="00D563CE"/>
    <w:rsid w:val="00D62260"/>
    <w:rsid w:val="00D623B5"/>
    <w:rsid w:val="00D62E08"/>
    <w:rsid w:val="00D664EB"/>
    <w:rsid w:val="00D72876"/>
    <w:rsid w:val="00D73228"/>
    <w:rsid w:val="00D73566"/>
    <w:rsid w:val="00D735F3"/>
    <w:rsid w:val="00D73B7F"/>
    <w:rsid w:val="00D73B84"/>
    <w:rsid w:val="00D73C59"/>
    <w:rsid w:val="00D73E1E"/>
    <w:rsid w:val="00D76547"/>
    <w:rsid w:val="00D771C0"/>
    <w:rsid w:val="00D77BE9"/>
    <w:rsid w:val="00D803F0"/>
    <w:rsid w:val="00D8203F"/>
    <w:rsid w:val="00D8229D"/>
    <w:rsid w:val="00D861C9"/>
    <w:rsid w:val="00D865B5"/>
    <w:rsid w:val="00D91EDF"/>
    <w:rsid w:val="00D935CF"/>
    <w:rsid w:val="00D954A3"/>
    <w:rsid w:val="00D9608D"/>
    <w:rsid w:val="00D9712C"/>
    <w:rsid w:val="00D97BB6"/>
    <w:rsid w:val="00DA0C18"/>
    <w:rsid w:val="00DA1EB8"/>
    <w:rsid w:val="00DA321A"/>
    <w:rsid w:val="00DA36EA"/>
    <w:rsid w:val="00DA439C"/>
    <w:rsid w:val="00DA697B"/>
    <w:rsid w:val="00DB09F8"/>
    <w:rsid w:val="00DB2433"/>
    <w:rsid w:val="00DB2683"/>
    <w:rsid w:val="00DB4388"/>
    <w:rsid w:val="00DB5FE9"/>
    <w:rsid w:val="00DB62A9"/>
    <w:rsid w:val="00DB6402"/>
    <w:rsid w:val="00DB6A28"/>
    <w:rsid w:val="00DB6F2A"/>
    <w:rsid w:val="00DC0AA4"/>
    <w:rsid w:val="00DC0FD3"/>
    <w:rsid w:val="00DC2D1C"/>
    <w:rsid w:val="00DC310A"/>
    <w:rsid w:val="00DC3CD5"/>
    <w:rsid w:val="00DC54D4"/>
    <w:rsid w:val="00DC5B46"/>
    <w:rsid w:val="00DC5B76"/>
    <w:rsid w:val="00DC5BAE"/>
    <w:rsid w:val="00DC744F"/>
    <w:rsid w:val="00DC7B87"/>
    <w:rsid w:val="00DD063C"/>
    <w:rsid w:val="00DD3491"/>
    <w:rsid w:val="00DD4F62"/>
    <w:rsid w:val="00DD579D"/>
    <w:rsid w:val="00DD5C59"/>
    <w:rsid w:val="00DD6041"/>
    <w:rsid w:val="00DD6211"/>
    <w:rsid w:val="00DD6288"/>
    <w:rsid w:val="00DD6289"/>
    <w:rsid w:val="00DD6E23"/>
    <w:rsid w:val="00DE181A"/>
    <w:rsid w:val="00DE2CE5"/>
    <w:rsid w:val="00DE2CF3"/>
    <w:rsid w:val="00DE3472"/>
    <w:rsid w:val="00DE36CC"/>
    <w:rsid w:val="00DE3712"/>
    <w:rsid w:val="00DE4298"/>
    <w:rsid w:val="00DE4521"/>
    <w:rsid w:val="00DE5C6E"/>
    <w:rsid w:val="00DE5DA3"/>
    <w:rsid w:val="00DE620F"/>
    <w:rsid w:val="00DE6C67"/>
    <w:rsid w:val="00DF00DE"/>
    <w:rsid w:val="00DF0DF2"/>
    <w:rsid w:val="00DF2404"/>
    <w:rsid w:val="00DF7E94"/>
    <w:rsid w:val="00E0034B"/>
    <w:rsid w:val="00E0458B"/>
    <w:rsid w:val="00E04FCB"/>
    <w:rsid w:val="00E079E0"/>
    <w:rsid w:val="00E07F67"/>
    <w:rsid w:val="00E10490"/>
    <w:rsid w:val="00E118B7"/>
    <w:rsid w:val="00E11CF0"/>
    <w:rsid w:val="00E20C24"/>
    <w:rsid w:val="00E20E06"/>
    <w:rsid w:val="00E217D3"/>
    <w:rsid w:val="00E235C0"/>
    <w:rsid w:val="00E23E45"/>
    <w:rsid w:val="00E25648"/>
    <w:rsid w:val="00E2573B"/>
    <w:rsid w:val="00E26EFF"/>
    <w:rsid w:val="00E30A22"/>
    <w:rsid w:val="00E30A67"/>
    <w:rsid w:val="00E31329"/>
    <w:rsid w:val="00E31CF6"/>
    <w:rsid w:val="00E352E3"/>
    <w:rsid w:val="00E36FC3"/>
    <w:rsid w:val="00E409DA"/>
    <w:rsid w:val="00E40E8F"/>
    <w:rsid w:val="00E41139"/>
    <w:rsid w:val="00E4198A"/>
    <w:rsid w:val="00E459C1"/>
    <w:rsid w:val="00E45F74"/>
    <w:rsid w:val="00E461FF"/>
    <w:rsid w:val="00E501F8"/>
    <w:rsid w:val="00E507A5"/>
    <w:rsid w:val="00E50C9F"/>
    <w:rsid w:val="00E515E6"/>
    <w:rsid w:val="00E51C32"/>
    <w:rsid w:val="00E533F7"/>
    <w:rsid w:val="00E541B0"/>
    <w:rsid w:val="00E6171E"/>
    <w:rsid w:val="00E617B2"/>
    <w:rsid w:val="00E6409A"/>
    <w:rsid w:val="00E6629F"/>
    <w:rsid w:val="00E66B7A"/>
    <w:rsid w:val="00E705A4"/>
    <w:rsid w:val="00E71A69"/>
    <w:rsid w:val="00E75E7E"/>
    <w:rsid w:val="00E763F6"/>
    <w:rsid w:val="00E76AE7"/>
    <w:rsid w:val="00E808D2"/>
    <w:rsid w:val="00E80B18"/>
    <w:rsid w:val="00E81088"/>
    <w:rsid w:val="00E8120F"/>
    <w:rsid w:val="00E81FC6"/>
    <w:rsid w:val="00E834BD"/>
    <w:rsid w:val="00E854F2"/>
    <w:rsid w:val="00E925BF"/>
    <w:rsid w:val="00E94519"/>
    <w:rsid w:val="00E95E22"/>
    <w:rsid w:val="00E96F30"/>
    <w:rsid w:val="00E97E18"/>
    <w:rsid w:val="00E97E32"/>
    <w:rsid w:val="00EA128B"/>
    <w:rsid w:val="00EA1DEB"/>
    <w:rsid w:val="00EA4D4D"/>
    <w:rsid w:val="00EA4D5B"/>
    <w:rsid w:val="00EA514C"/>
    <w:rsid w:val="00EA577E"/>
    <w:rsid w:val="00EB1106"/>
    <w:rsid w:val="00EB396D"/>
    <w:rsid w:val="00EB3DDC"/>
    <w:rsid w:val="00EB481B"/>
    <w:rsid w:val="00EB6121"/>
    <w:rsid w:val="00EB7DE7"/>
    <w:rsid w:val="00EC07C1"/>
    <w:rsid w:val="00EC0836"/>
    <w:rsid w:val="00EC1913"/>
    <w:rsid w:val="00EC1AB9"/>
    <w:rsid w:val="00EC2392"/>
    <w:rsid w:val="00EC24C6"/>
    <w:rsid w:val="00EC4921"/>
    <w:rsid w:val="00EC4C59"/>
    <w:rsid w:val="00EC4E70"/>
    <w:rsid w:val="00EC681B"/>
    <w:rsid w:val="00EC7C20"/>
    <w:rsid w:val="00ED240E"/>
    <w:rsid w:val="00ED2976"/>
    <w:rsid w:val="00ED3734"/>
    <w:rsid w:val="00ED3D86"/>
    <w:rsid w:val="00ED5460"/>
    <w:rsid w:val="00ED5D63"/>
    <w:rsid w:val="00EE00C1"/>
    <w:rsid w:val="00EE14C2"/>
    <w:rsid w:val="00EE2785"/>
    <w:rsid w:val="00EE3365"/>
    <w:rsid w:val="00EE3C54"/>
    <w:rsid w:val="00EE481C"/>
    <w:rsid w:val="00EE52C2"/>
    <w:rsid w:val="00EE57D2"/>
    <w:rsid w:val="00EE5DE1"/>
    <w:rsid w:val="00EE6429"/>
    <w:rsid w:val="00EE7B30"/>
    <w:rsid w:val="00EF48EE"/>
    <w:rsid w:val="00EF4D25"/>
    <w:rsid w:val="00EF5859"/>
    <w:rsid w:val="00EF5A9F"/>
    <w:rsid w:val="00EF6C37"/>
    <w:rsid w:val="00EF79DA"/>
    <w:rsid w:val="00F00E4A"/>
    <w:rsid w:val="00F040F4"/>
    <w:rsid w:val="00F04462"/>
    <w:rsid w:val="00F04717"/>
    <w:rsid w:val="00F05956"/>
    <w:rsid w:val="00F11F33"/>
    <w:rsid w:val="00F14203"/>
    <w:rsid w:val="00F146F7"/>
    <w:rsid w:val="00F15049"/>
    <w:rsid w:val="00F20BAF"/>
    <w:rsid w:val="00F20BC8"/>
    <w:rsid w:val="00F221B2"/>
    <w:rsid w:val="00F23D78"/>
    <w:rsid w:val="00F24063"/>
    <w:rsid w:val="00F24C1B"/>
    <w:rsid w:val="00F25FD0"/>
    <w:rsid w:val="00F262E0"/>
    <w:rsid w:val="00F269DF"/>
    <w:rsid w:val="00F27D34"/>
    <w:rsid w:val="00F27E2F"/>
    <w:rsid w:val="00F30A18"/>
    <w:rsid w:val="00F31484"/>
    <w:rsid w:val="00F33373"/>
    <w:rsid w:val="00F349F2"/>
    <w:rsid w:val="00F354C1"/>
    <w:rsid w:val="00F357E9"/>
    <w:rsid w:val="00F36CAC"/>
    <w:rsid w:val="00F37F9F"/>
    <w:rsid w:val="00F42D13"/>
    <w:rsid w:val="00F449D0"/>
    <w:rsid w:val="00F4630F"/>
    <w:rsid w:val="00F463EE"/>
    <w:rsid w:val="00F47ACE"/>
    <w:rsid w:val="00F52588"/>
    <w:rsid w:val="00F540B4"/>
    <w:rsid w:val="00F55CCF"/>
    <w:rsid w:val="00F55EA4"/>
    <w:rsid w:val="00F55ED6"/>
    <w:rsid w:val="00F56B06"/>
    <w:rsid w:val="00F626C5"/>
    <w:rsid w:val="00F6347A"/>
    <w:rsid w:val="00F638FF"/>
    <w:rsid w:val="00F64908"/>
    <w:rsid w:val="00F6569B"/>
    <w:rsid w:val="00F6604D"/>
    <w:rsid w:val="00F6671E"/>
    <w:rsid w:val="00F67999"/>
    <w:rsid w:val="00F701F5"/>
    <w:rsid w:val="00F70DA5"/>
    <w:rsid w:val="00F7138D"/>
    <w:rsid w:val="00F71D8B"/>
    <w:rsid w:val="00F7275C"/>
    <w:rsid w:val="00F73B13"/>
    <w:rsid w:val="00F75A97"/>
    <w:rsid w:val="00F801D3"/>
    <w:rsid w:val="00F8035F"/>
    <w:rsid w:val="00F85961"/>
    <w:rsid w:val="00F861D9"/>
    <w:rsid w:val="00F900DF"/>
    <w:rsid w:val="00F90728"/>
    <w:rsid w:val="00F93496"/>
    <w:rsid w:val="00F9436E"/>
    <w:rsid w:val="00F94C6C"/>
    <w:rsid w:val="00F94FDC"/>
    <w:rsid w:val="00F95B53"/>
    <w:rsid w:val="00F95DAE"/>
    <w:rsid w:val="00F96BA4"/>
    <w:rsid w:val="00F96FE5"/>
    <w:rsid w:val="00FA4A2C"/>
    <w:rsid w:val="00FA4DCD"/>
    <w:rsid w:val="00FA6406"/>
    <w:rsid w:val="00FA6DD4"/>
    <w:rsid w:val="00FB1174"/>
    <w:rsid w:val="00FB2BF5"/>
    <w:rsid w:val="00FB38E6"/>
    <w:rsid w:val="00FB5450"/>
    <w:rsid w:val="00FB5DFD"/>
    <w:rsid w:val="00FB6C87"/>
    <w:rsid w:val="00FB7129"/>
    <w:rsid w:val="00FB79F8"/>
    <w:rsid w:val="00FC008D"/>
    <w:rsid w:val="00FC13B6"/>
    <w:rsid w:val="00FC1EDB"/>
    <w:rsid w:val="00FC22A0"/>
    <w:rsid w:val="00FC2892"/>
    <w:rsid w:val="00FC2CC4"/>
    <w:rsid w:val="00FC390A"/>
    <w:rsid w:val="00FC3A11"/>
    <w:rsid w:val="00FC3B90"/>
    <w:rsid w:val="00FC4B8B"/>
    <w:rsid w:val="00FC4DAC"/>
    <w:rsid w:val="00FC5F1F"/>
    <w:rsid w:val="00FC6671"/>
    <w:rsid w:val="00FC6C58"/>
    <w:rsid w:val="00FC6EC0"/>
    <w:rsid w:val="00FC7846"/>
    <w:rsid w:val="00FD0481"/>
    <w:rsid w:val="00FD0AE1"/>
    <w:rsid w:val="00FD2027"/>
    <w:rsid w:val="00FD251A"/>
    <w:rsid w:val="00FD2AAA"/>
    <w:rsid w:val="00FD4B46"/>
    <w:rsid w:val="00FD561D"/>
    <w:rsid w:val="00FD61B7"/>
    <w:rsid w:val="00FD6383"/>
    <w:rsid w:val="00FD700B"/>
    <w:rsid w:val="00FE2BE4"/>
    <w:rsid w:val="00FE3272"/>
    <w:rsid w:val="00FE4245"/>
    <w:rsid w:val="00FF20CB"/>
    <w:rsid w:val="00FF34A5"/>
    <w:rsid w:val="00FF375C"/>
    <w:rsid w:val="00FF5F25"/>
    <w:rsid w:val="00FF65D7"/>
    <w:rsid w:val="00FF6B36"/>
    <w:rsid w:val="074C434E"/>
    <w:rsid w:val="087D7061"/>
    <w:rsid w:val="0B1F79FB"/>
    <w:rsid w:val="0EFD0B0E"/>
    <w:rsid w:val="0F1D7F3B"/>
    <w:rsid w:val="12BA5E57"/>
    <w:rsid w:val="14776B81"/>
    <w:rsid w:val="14C6648B"/>
    <w:rsid w:val="15C331FB"/>
    <w:rsid w:val="16A26097"/>
    <w:rsid w:val="18B36028"/>
    <w:rsid w:val="1ED42C4F"/>
    <w:rsid w:val="266B1B3D"/>
    <w:rsid w:val="29014D7B"/>
    <w:rsid w:val="29A67E88"/>
    <w:rsid w:val="29C11D13"/>
    <w:rsid w:val="2C2046F3"/>
    <w:rsid w:val="2DF52E09"/>
    <w:rsid w:val="329E6935"/>
    <w:rsid w:val="33DA6152"/>
    <w:rsid w:val="35143424"/>
    <w:rsid w:val="35A422AC"/>
    <w:rsid w:val="374F6C07"/>
    <w:rsid w:val="376826F1"/>
    <w:rsid w:val="39DB161E"/>
    <w:rsid w:val="39F53781"/>
    <w:rsid w:val="3A700B08"/>
    <w:rsid w:val="3C997F71"/>
    <w:rsid w:val="3D721955"/>
    <w:rsid w:val="40BB2FF8"/>
    <w:rsid w:val="41AA2901"/>
    <w:rsid w:val="44C87E49"/>
    <w:rsid w:val="45A1313A"/>
    <w:rsid w:val="4CBE3FB3"/>
    <w:rsid w:val="500534BE"/>
    <w:rsid w:val="52975E9A"/>
    <w:rsid w:val="566117D3"/>
    <w:rsid w:val="56AE226B"/>
    <w:rsid w:val="57CA590F"/>
    <w:rsid w:val="59070CD8"/>
    <w:rsid w:val="5B4B494B"/>
    <w:rsid w:val="5C672478"/>
    <w:rsid w:val="5DCE15C7"/>
    <w:rsid w:val="5E881CBB"/>
    <w:rsid w:val="617A4951"/>
    <w:rsid w:val="61E176A4"/>
    <w:rsid w:val="64373B62"/>
    <w:rsid w:val="6CFC34A5"/>
    <w:rsid w:val="6E596C53"/>
    <w:rsid w:val="7159195C"/>
    <w:rsid w:val="717C5684"/>
    <w:rsid w:val="71B65F4F"/>
    <w:rsid w:val="75E1492C"/>
    <w:rsid w:val="75FC3F51"/>
    <w:rsid w:val="765414E7"/>
    <w:rsid w:val="7D9D52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99"/>
    <w:pPr>
      <w:keepNext/>
      <w:keepLines/>
      <w:spacing w:before="340" w:after="330" w:line="578" w:lineRule="auto"/>
      <w:jc w:val="center"/>
      <w:outlineLvl w:val="0"/>
    </w:pPr>
    <w:rPr>
      <w:rFonts w:eastAsiaTheme="majorEastAsia"/>
      <w:b/>
      <w:bCs/>
      <w:kern w:val="44"/>
      <w:sz w:val="52"/>
      <w:szCs w:val="44"/>
    </w:rPr>
  </w:style>
  <w:style w:type="paragraph" w:styleId="3">
    <w:name w:val="heading 2"/>
    <w:basedOn w:val="1"/>
    <w:next w:val="1"/>
    <w:link w:val="22"/>
    <w:qFormat/>
    <w:uiPriority w:val="99"/>
    <w:pPr>
      <w:keepNext/>
      <w:keepLines/>
      <w:spacing w:before="260" w:after="260" w:line="416" w:lineRule="auto"/>
      <w:jc w:val="left"/>
      <w:outlineLvl w:val="1"/>
    </w:pPr>
    <w:rPr>
      <w:rFonts w:ascii="Cambria" w:hAnsi="Cambria" w:eastAsiaTheme="majorEastAsia"/>
      <w:b/>
      <w:bCs/>
      <w:sz w:val="36"/>
      <w:szCs w:val="32"/>
    </w:rPr>
  </w:style>
  <w:style w:type="paragraph" w:styleId="4">
    <w:name w:val="heading 3"/>
    <w:basedOn w:val="1"/>
    <w:next w:val="1"/>
    <w:link w:val="23"/>
    <w:qFormat/>
    <w:uiPriority w:val="9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after="120"/>
    </w:pPr>
  </w:style>
  <w:style w:type="paragraph" w:styleId="6">
    <w:name w:val="Body Text Indent"/>
    <w:basedOn w:val="1"/>
    <w:link w:val="25"/>
    <w:qFormat/>
    <w:uiPriority w:val="99"/>
    <w:pPr>
      <w:spacing w:after="120"/>
      <w:ind w:left="420" w:leftChars="200"/>
    </w:pPr>
  </w:style>
  <w:style w:type="paragraph" w:styleId="7">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8">
    <w:name w:val="Date"/>
    <w:basedOn w:val="1"/>
    <w:next w:val="1"/>
    <w:link w:val="26"/>
    <w:qFormat/>
    <w:uiPriority w:val="99"/>
    <w:pPr>
      <w:widowControl/>
      <w:ind w:left="100" w:leftChars="2500"/>
      <w:jc w:val="left"/>
    </w:pPr>
    <w:rPr>
      <w:rFonts w:ascii="Calibri" w:hAnsi="Calibri"/>
      <w:kern w:val="0"/>
      <w:sz w:val="24"/>
      <w:lang w:eastAsia="en-US"/>
    </w:rPr>
  </w:style>
  <w:style w:type="paragraph" w:styleId="9">
    <w:name w:val="Balloon Text"/>
    <w:basedOn w:val="1"/>
    <w:link w:val="27"/>
    <w:qFormat/>
    <w:uiPriority w:val="99"/>
    <w:rPr>
      <w:sz w:val="18"/>
      <w:szCs w:val="18"/>
    </w:rPr>
  </w:style>
  <w:style w:type="paragraph" w:styleId="10">
    <w:name w:val="footer"/>
    <w:basedOn w:val="1"/>
    <w:link w:val="28"/>
    <w:qFormat/>
    <w:uiPriority w:val="99"/>
    <w:pPr>
      <w:widowControl/>
      <w:tabs>
        <w:tab w:val="center" w:pos="4153"/>
        <w:tab w:val="right" w:pos="8306"/>
      </w:tabs>
      <w:snapToGrid w:val="0"/>
      <w:jc w:val="left"/>
    </w:pPr>
    <w:rPr>
      <w:rFonts w:ascii="Calibri" w:hAnsi="Calibri"/>
      <w:kern w:val="0"/>
      <w:sz w:val="18"/>
      <w:szCs w:val="18"/>
      <w:lang w:eastAsia="en-US"/>
    </w:rPr>
  </w:style>
  <w:style w:type="paragraph" w:styleId="11">
    <w:name w:val="header"/>
    <w:basedOn w:val="1"/>
    <w:link w:val="29"/>
    <w:qFormat/>
    <w:uiPriority w:val="99"/>
    <w:pPr>
      <w:widowControl/>
      <w:tabs>
        <w:tab w:val="center" w:pos="4153"/>
        <w:tab w:val="right" w:pos="8306"/>
      </w:tabs>
      <w:snapToGrid w:val="0"/>
      <w:jc w:val="center"/>
    </w:pPr>
    <w:rPr>
      <w:rFonts w:ascii="Calibri" w:hAnsi="Calibri"/>
      <w:kern w:val="0"/>
      <w:sz w:val="18"/>
      <w:szCs w:val="18"/>
      <w:lang w:eastAsia="en-US"/>
    </w:rPr>
  </w:style>
  <w:style w:type="paragraph" w:styleId="12">
    <w:name w:val="toc 1"/>
    <w:basedOn w:val="1"/>
    <w:next w:val="1"/>
    <w:qFormat/>
    <w:uiPriority w:val="39"/>
    <w:pPr>
      <w:widowControl/>
      <w:spacing w:after="100" w:line="276" w:lineRule="auto"/>
      <w:jc w:val="left"/>
    </w:pPr>
    <w:rPr>
      <w:rFonts w:ascii="Calibri" w:hAnsi="Calibri"/>
      <w:kern w:val="0"/>
      <w:sz w:val="22"/>
      <w:szCs w:val="22"/>
    </w:rPr>
  </w:style>
  <w:style w:type="paragraph" w:styleId="13">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99"/>
    <w:rPr>
      <w:rFonts w:cs="Times New Roman"/>
    </w:rPr>
  </w:style>
  <w:style w:type="character" w:styleId="19">
    <w:name w:val="FollowedHyperlink"/>
    <w:basedOn w:val="17"/>
    <w:semiHidden/>
    <w:qFormat/>
    <w:uiPriority w:val="99"/>
    <w:rPr>
      <w:rFonts w:cs="Times New Roman"/>
      <w:color w:val="800080"/>
      <w:u w:val="single"/>
    </w:rPr>
  </w:style>
  <w:style w:type="character" w:styleId="20">
    <w:name w:val="Hyperlink"/>
    <w:basedOn w:val="17"/>
    <w:qFormat/>
    <w:uiPriority w:val="99"/>
    <w:rPr>
      <w:rFonts w:cs="Times New Roman"/>
      <w:color w:val="0000FF"/>
      <w:u w:val="single"/>
    </w:rPr>
  </w:style>
  <w:style w:type="character" w:customStyle="1" w:styleId="21">
    <w:name w:val="标题 1 Char"/>
    <w:basedOn w:val="17"/>
    <w:link w:val="2"/>
    <w:qFormat/>
    <w:locked/>
    <w:uiPriority w:val="99"/>
    <w:rPr>
      <w:rFonts w:eastAsiaTheme="majorEastAsia"/>
      <w:b/>
      <w:bCs/>
      <w:kern w:val="44"/>
      <w:sz w:val="52"/>
      <w:szCs w:val="44"/>
    </w:rPr>
  </w:style>
  <w:style w:type="character" w:customStyle="1" w:styleId="22">
    <w:name w:val="标题 2 Char"/>
    <w:basedOn w:val="17"/>
    <w:link w:val="3"/>
    <w:qFormat/>
    <w:locked/>
    <w:uiPriority w:val="99"/>
    <w:rPr>
      <w:rFonts w:ascii="Cambria" w:hAnsi="Cambria" w:eastAsiaTheme="majorEastAsia"/>
      <w:b/>
      <w:bCs/>
      <w:kern w:val="2"/>
      <w:sz w:val="36"/>
      <w:szCs w:val="32"/>
    </w:rPr>
  </w:style>
  <w:style w:type="character" w:customStyle="1" w:styleId="23">
    <w:name w:val="标题 3 Char"/>
    <w:basedOn w:val="17"/>
    <w:link w:val="4"/>
    <w:qFormat/>
    <w:locked/>
    <w:uiPriority w:val="99"/>
    <w:rPr>
      <w:rFonts w:ascii="Times New Roman" w:hAnsi="Times New Roman" w:eastAsia="宋体" w:cs="Times New Roman"/>
      <w:b/>
      <w:bCs/>
      <w:kern w:val="2"/>
      <w:sz w:val="32"/>
      <w:szCs w:val="32"/>
    </w:rPr>
  </w:style>
  <w:style w:type="character" w:customStyle="1" w:styleId="24">
    <w:name w:val="正文文本 Char"/>
    <w:basedOn w:val="17"/>
    <w:link w:val="5"/>
    <w:qFormat/>
    <w:locked/>
    <w:uiPriority w:val="99"/>
    <w:rPr>
      <w:rFonts w:ascii="Times New Roman" w:hAnsi="Times New Roman" w:eastAsia="宋体" w:cs="Times New Roman"/>
      <w:kern w:val="2"/>
      <w:sz w:val="24"/>
      <w:szCs w:val="24"/>
    </w:rPr>
  </w:style>
  <w:style w:type="character" w:customStyle="1" w:styleId="25">
    <w:name w:val="正文文本缩进 Char"/>
    <w:basedOn w:val="17"/>
    <w:link w:val="6"/>
    <w:qFormat/>
    <w:locked/>
    <w:uiPriority w:val="99"/>
    <w:rPr>
      <w:rFonts w:ascii="Times New Roman" w:hAnsi="Times New Roman" w:eastAsia="宋体" w:cs="Times New Roman"/>
      <w:kern w:val="2"/>
      <w:sz w:val="24"/>
      <w:szCs w:val="24"/>
    </w:rPr>
  </w:style>
  <w:style w:type="character" w:customStyle="1" w:styleId="26">
    <w:name w:val="日期 Char"/>
    <w:basedOn w:val="17"/>
    <w:link w:val="8"/>
    <w:qFormat/>
    <w:locked/>
    <w:uiPriority w:val="99"/>
    <w:rPr>
      <w:rFonts w:ascii="Calibri" w:hAnsi="Calibri" w:eastAsia="宋体" w:cs="Times New Roman"/>
      <w:sz w:val="24"/>
      <w:szCs w:val="24"/>
      <w:lang w:eastAsia="en-US"/>
    </w:rPr>
  </w:style>
  <w:style w:type="character" w:customStyle="1" w:styleId="27">
    <w:name w:val="批注框文本 Char"/>
    <w:basedOn w:val="17"/>
    <w:link w:val="9"/>
    <w:qFormat/>
    <w:locked/>
    <w:uiPriority w:val="99"/>
    <w:rPr>
      <w:rFonts w:ascii="Times New Roman" w:hAnsi="Times New Roman" w:eastAsia="宋体" w:cs="Times New Roman"/>
      <w:kern w:val="2"/>
      <w:sz w:val="18"/>
      <w:szCs w:val="18"/>
    </w:rPr>
  </w:style>
  <w:style w:type="character" w:customStyle="1" w:styleId="28">
    <w:name w:val="页脚 Char"/>
    <w:basedOn w:val="17"/>
    <w:link w:val="10"/>
    <w:qFormat/>
    <w:locked/>
    <w:uiPriority w:val="99"/>
    <w:rPr>
      <w:rFonts w:ascii="Calibri" w:hAnsi="Calibri" w:eastAsia="宋体" w:cs="Times New Roman"/>
      <w:sz w:val="18"/>
      <w:szCs w:val="18"/>
      <w:lang w:eastAsia="en-US"/>
    </w:rPr>
  </w:style>
  <w:style w:type="character" w:customStyle="1" w:styleId="29">
    <w:name w:val="页眉 Char"/>
    <w:basedOn w:val="17"/>
    <w:link w:val="11"/>
    <w:qFormat/>
    <w:locked/>
    <w:uiPriority w:val="99"/>
    <w:rPr>
      <w:rFonts w:ascii="Calibri" w:hAnsi="Calibri" w:eastAsia="宋体" w:cs="Times New Roman"/>
      <w:sz w:val="18"/>
      <w:szCs w:val="18"/>
      <w:lang w:eastAsia="en-US"/>
    </w:rPr>
  </w:style>
  <w:style w:type="character" w:customStyle="1" w:styleId="30">
    <w:name w:val="font41"/>
    <w:basedOn w:val="17"/>
    <w:qFormat/>
    <w:uiPriority w:val="99"/>
    <w:rPr>
      <w:rFonts w:ascii="Times New Roman" w:hAnsi="Times New Roman" w:cs="Times New Roman"/>
      <w:color w:val="000000"/>
      <w:sz w:val="24"/>
      <w:szCs w:val="24"/>
      <w:u w:val="none"/>
    </w:rPr>
  </w:style>
  <w:style w:type="character" w:customStyle="1" w:styleId="31">
    <w:name w:val="apple-style-span"/>
    <w:basedOn w:val="17"/>
    <w:qFormat/>
    <w:uiPriority w:val="99"/>
    <w:rPr>
      <w:rFonts w:cs="Times New Roman"/>
    </w:rPr>
  </w:style>
  <w:style w:type="character" w:customStyle="1" w:styleId="32">
    <w:name w:val="ca-8"/>
    <w:basedOn w:val="17"/>
    <w:qFormat/>
    <w:uiPriority w:val="99"/>
    <w:rPr>
      <w:rFonts w:cs="Times New Roman"/>
    </w:rPr>
  </w:style>
  <w:style w:type="character" w:customStyle="1" w:styleId="33">
    <w:name w:val="font31"/>
    <w:basedOn w:val="17"/>
    <w:qFormat/>
    <w:uiPriority w:val="99"/>
    <w:rPr>
      <w:rFonts w:ascii="楷体_GB2312" w:eastAsia="楷体_GB2312" w:cs="Times New Roman"/>
      <w:color w:val="000000"/>
      <w:sz w:val="24"/>
      <w:szCs w:val="24"/>
      <w:u w:val="none"/>
    </w:rPr>
  </w:style>
  <w:style w:type="character" w:customStyle="1" w:styleId="34">
    <w:name w:val="font21"/>
    <w:basedOn w:val="17"/>
    <w:qFormat/>
    <w:uiPriority w:val="99"/>
    <w:rPr>
      <w:rFonts w:ascii="楷体_GB2312" w:eastAsia="楷体_GB2312" w:cs="Times New Roman"/>
      <w:color w:val="000000"/>
      <w:sz w:val="28"/>
      <w:szCs w:val="28"/>
      <w:u w:val="none"/>
    </w:rPr>
  </w:style>
  <w:style w:type="character" w:customStyle="1" w:styleId="35">
    <w:name w:val="font11"/>
    <w:basedOn w:val="17"/>
    <w:qFormat/>
    <w:uiPriority w:val="99"/>
    <w:rPr>
      <w:rFonts w:ascii="Times New Roman" w:hAnsi="Times New Roman" w:cs="Times New Roman"/>
      <w:color w:val="000000"/>
      <w:sz w:val="28"/>
      <w:szCs w:val="28"/>
      <w:u w:val="none"/>
    </w:rPr>
  </w:style>
  <w:style w:type="paragraph" w:customStyle="1" w:styleId="36">
    <w:name w:val="p15"/>
    <w:basedOn w:val="1"/>
    <w:qFormat/>
    <w:uiPriority w:val="99"/>
    <w:pPr>
      <w:widowControl/>
    </w:pPr>
    <w:rPr>
      <w:kern w:val="0"/>
      <w:szCs w:val="21"/>
    </w:rPr>
  </w:style>
  <w:style w:type="paragraph" w:customStyle="1" w:styleId="37">
    <w:name w:val="p0"/>
    <w:basedOn w:val="1"/>
    <w:qFormat/>
    <w:uiPriority w:val="99"/>
    <w:pPr>
      <w:widowControl/>
    </w:pPr>
    <w:rPr>
      <w:kern w:val="0"/>
      <w:szCs w:val="21"/>
    </w:rPr>
  </w:style>
  <w:style w:type="paragraph" w:customStyle="1" w:styleId="38">
    <w:name w:val="font5"/>
    <w:basedOn w:val="1"/>
    <w:qFormat/>
    <w:uiPriority w:val="99"/>
    <w:pPr>
      <w:widowControl/>
      <w:spacing w:before="100" w:beforeAutospacing="1" w:after="100" w:afterAutospacing="1"/>
      <w:jc w:val="left"/>
    </w:pPr>
    <w:rPr>
      <w:rFonts w:ascii="宋体" w:hAnsi="宋体" w:cs="宋体"/>
      <w:b/>
      <w:bCs/>
      <w:kern w:val="0"/>
      <w:sz w:val="24"/>
    </w:rPr>
  </w:style>
  <w:style w:type="paragraph" w:customStyle="1" w:styleId="39">
    <w:name w:val="font6"/>
    <w:basedOn w:val="1"/>
    <w:qFormat/>
    <w:uiPriority w:val="99"/>
    <w:pPr>
      <w:widowControl/>
      <w:spacing w:before="100" w:beforeAutospacing="1" w:after="100" w:afterAutospacing="1"/>
      <w:jc w:val="left"/>
    </w:pPr>
    <w:rPr>
      <w:rFonts w:ascii="宋体" w:hAnsi="宋体" w:cs="宋体"/>
      <w:kern w:val="0"/>
      <w:sz w:val="22"/>
      <w:szCs w:val="22"/>
    </w:rPr>
  </w:style>
  <w:style w:type="paragraph" w:customStyle="1" w:styleId="40">
    <w:name w:val="font7"/>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41">
    <w:name w:val="font8"/>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42">
    <w:name w:val="font9"/>
    <w:basedOn w:val="1"/>
    <w:qFormat/>
    <w:uiPriority w:val="99"/>
    <w:pPr>
      <w:widowControl/>
      <w:spacing w:before="100" w:beforeAutospacing="1" w:after="100" w:afterAutospacing="1"/>
      <w:jc w:val="left"/>
    </w:pPr>
    <w:rPr>
      <w:rFonts w:ascii="宋体" w:hAnsi="宋体" w:cs="宋体"/>
      <w:color w:val="000000"/>
      <w:kern w:val="0"/>
      <w:sz w:val="18"/>
      <w:szCs w:val="18"/>
    </w:rPr>
  </w:style>
  <w:style w:type="paragraph" w:customStyle="1" w:styleId="43">
    <w:name w:val="xl10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44">
    <w:name w:val="xl102"/>
    <w:basedOn w:val="1"/>
    <w:qFormat/>
    <w:uiPriority w:val="99"/>
    <w:pPr>
      <w:widowControl/>
      <w:spacing w:before="100" w:beforeAutospacing="1" w:after="100" w:afterAutospacing="1"/>
      <w:jc w:val="left"/>
      <w:textAlignment w:val="center"/>
    </w:pPr>
    <w:rPr>
      <w:rFonts w:ascii="宋体" w:hAnsi="宋体" w:cs="宋体"/>
      <w:b/>
      <w:bCs/>
      <w:kern w:val="0"/>
      <w:sz w:val="24"/>
    </w:rPr>
  </w:style>
  <w:style w:type="paragraph" w:customStyle="1" w:styleId="45">
    <w:name w:val="xl103"/>
    <w:basedOn w:val="1"/>
    <w:qFormat/>
    <w:uiPriority w:val="99"/>
    <w:pPr>
      <w:widowControl/>
      <w:spacing w:before="100" w:beforeAutospacing="1" w:after="100" w:afterAutospacing="1"/>
      <w:jc w:val="left"/>
      <w:textAlignment w:val="center"/>
    </w:pPr>
    <w:rPr>
      <w:rFonts w:ascii="黑体" w:hAnsi="黑体" w:eastAsia="黑体" w:cs="宋体"/>
      <w:kern w:val="0"/>
      <w:sz w:val="24"/>
    </w:rPr>
  </w:style>
  <w:style w:type="paragraph" w:customStyle="1" w:styleId="46">
    <w:name w:val="xl1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7">
    <w:name w:val="xl1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48">
    <w:name w:val="xl106"/>
    <w:basedOn w:val="1"/>
    <w:qFormat/>
    <w:uiPriority w:val="99"/>
    <w:pPr>
      <w:widowControl/>
      <w:spacing w:before="100" w:beforeAutospacing="1" w:after="100" w:afterAutospacing="1"/>
      <w:jc w:val="left"/>
      <w:textAlignment w:val="center"/>
    </w:pPr>
    <w:rPr>
      <w:rFonts w:ascii="宋体" w:hAnsi="宋体" w:cs="宋体"/>
      <w:kern w:val="0"/>
      <w:sz w:val="24"/>
    </w:rPr>
  </w:style>
  <w:style w:type="paragraph" w:customStyle="1" w:styleId="49">
    <w:name w:val="xl1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4"/>
    </w:rPr>
  </w:style>
  <w:style w:type="paragraph" w:customStyle="1" w:styleId="50">
    <w:name w:val="xl1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51">
    <w:name w:val="xl1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52">
    <w:name w:val="xl1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2"/>
      <w:szCs w:val="22"/>
    </w:rPr>
  </w:style>
  <w:style w:type="paragraph" w:customStyle="1" w:styleId="53">
    <w:name w:val="xl111"/>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4">
    <w:name w:val="xl112"/>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5">
    <w:name w:val="xl113"/>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6">
    <w:name w:val="xl11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57">
    <w:name w:val="xl115"/>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8">
    <w:name w:val="xl116"/>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59">
    <w:name w:val="xl117"/>
    <w:basedOn w:val="1"/>
    <w:qFormat/>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0">
    <w:name w:val="xl118"/>
    <w:basedOn w:val="1"/>
    <w:qFormat/>
    <w:uiPriority w:val="99"/>
    <w:pPr>
      <w:widowControl/>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left"/>
      <w:textAlignment w:val="center"/>
    </w:pPr>
    <w:rPr>
      <w:rFonts w:ascii="宋体" w:hAnsi="宋体" w:cs="宋体"/>
      <w:kern w:val="0"/>
      <w:sz w:val="22"/>
      <w:szCs w:val="22"/>
    </w:rPr>
  </w:style>
  <w:style w:type="paragraph" w:customStyle="1" w:styleId="61">
    <w:name w:val="xl11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2">
    <w:name w:val="xl120"/>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3">
    <w:name w:val="xl121"/>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4">
    <w:name w:val="xl122"/>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5">
    <w:name w:val="xl123"/>
    <w:basedOn w:val="1"/>
    <w:qFormat/>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6">
    <w:name w:val="xl124"/>
    <w:basedOn w:val="1"/>
    <w:qFormat/>
    <w:uiPriority w:val="99"/>
    <w:pPr>
      <w:widowControl/>
      <w:pBdr>
        <w:top w:val="single" w:color="000000" w:sz="4" w:space="0"/>
        <w:left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7">
    <w:name w:val="xl125"/>
    <w:basedOn w:val="1"/>
    <w:qFormat/>
    <w:uiPriority w:val="99"/>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8">
    <w:name w:val="xl126"/>
    <w:basedOn w:val="1"/>
    <w:qFormat/>
    <w:uiPriority w:val="99"/>
    <w:pPr>
      <w:widowControl/>
      <w:spacing w:before="100" w:beforeAutospacing="1" w:after="100" w:afterAutospacing="1"/>
      <w:jc w:val="center"/>
      <w:textAlignment w:val="center"/>
    </w:pPr>
    <w:rPr>
      <w:rFonts w:ascii="黑体" w:hAnsi="黑体" w:eastAsia="黑体" w:cs="宋体"/>
      <w:b/>
      <w:bCs/>
      <w:kern w:val="0"/>
      <w:sz w:val="32"/>
      <w:szCs w:val="32"/>
    </w:rPr>
  </w:style>
  <w:style w:type="paragraph" w:customStyle="1" w:styleId="69">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7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71">
    <w:name w:val="xl68"/>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pPr>
    <w:rPr>
      <w:rFonts w:ascii="宋体" w:hAnsi="宋体" w:cs="宋体"/>
      <w:kern w:val="0"/>
      <w:sz w:val="24"/>
    </w:rPr>
  </w:style>
  <w:style w:type="paragraph" w:customStyle="1" w:styleId="72">
    <w:name w:val="xl69"/>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textAlignment w:val="top"/>
    </w:pPr>
    <w:rPr>
      <w:rFonts w:ascii="宋体" w:hAnsi="宋体" w:cs="宋体"/>
      <w:kern w:val="0"/>
      <w:sz w:val="18"/>
      <w:szCs w:val="18"/>
    </w:rPr>
  </w:style>
  <w:style w:type="paragraph" w:customStyle="1" w:styleId="73">
    <w:name w:val="xl70"/>
    <w:basedOn w:val="1"/>
    <w:qFormat/>
    <w:uiPriority w:val="99"/>
    <w:pPr>
      <w:widowControl/>
      <w:pBdr>
        <w:top w:val="single" w:color="auto" w:sz="4" w:space="0"/>
        <w:left w:val="single" w:color="auto" w:sz="4" w:space="0"/>
        <w:bottom w:val="single" w:color="auto" w:sz="4" w:space="0"/>
        <w:right w:val="single" w:color="auto" w:sz="4" w:space="0"/>
      </w:pBdr>
      <w:shd w:val="clear" w:color="auto" w:fill="99CC00"/>
      <w:spacing w:before="100" w:beforeAutospacing="1" w:after="100" w:afterAutospacing="1"/>
      <w:jc w:val="left"/>
    </w:pPr>
    <w:rPr>
      <w:rFonts w:ascii="宋体" w:hAnsi="宋体" w:cs="宋体"/>
      <w:kern w:val="0"/>
      <w:sz w:val="18"/>
      <w:szCs w:val="18"/>
    </w:rPr>
  </w:style>
  <w:style w:type="paragraph" w:customStyle="1" w:styleId="74">
    <w:name w:val="xl71"/>
    <w:basedOn w:val="1"/>
    <w:qFormat/>
    <w:uiPriority w:val="99"/>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24"/>
    </w:rPr>
  </w:style>
  <w:style w:type="paragraph" w:customStyle="1" w:styleId="75">
    <w:name w:val="xl72"/>
    <w:basedOn w:val="1"/>
    <w:qFormat/>
    <w:uiPriority w:val="99"/>
    <w:pPr>
      <w:widowControl/>
      <w:pBdr>
        <w:top w:val="single" w:color="auto" w:sz="4" w:space="0"/>
        <w:left w:val="single" w:color="auto" w:sz="4" w:space="20"/>
        <w:bottom w:val="single" w:color="auto" w:sz="4" w:space="0"/>
        <w:right w:val="single" w:color="auto" w:sz="4" w:space="0"/>
      </w:pBdr>
      <w:shd w:val="clear" w:color="auto" w:fill="FFFF00"/>
      <w:spacing w:before="100" w:beforeAutospacing="1" w:after="100" w:afterAutospacing="1"/>
      <w:ind w:firstLine="100" w:firstLineChars="100"/>
      <w:jc w:val="left"/>
      <w:textAlignment w:val="top"/>
    </w:pPr>
    <w:rPr>
      <w:rFonts w:ascii="宋体" w:hAnsi="宋体" w:cs="宋体"/>
      <w:kern w:val="0"/>
      <w:sz w:val="18"/>
      <w:szCs w:val="18"/>
    </w:rPr>
  </w:style>
  <w:style w:type="paragraph" w:customStyle="1" w:styleId="76">
    <w:name w:val="xl73"/>
    <w:basedOn w:val="1"/>
    <w:qFormat/>
    <w:uiPriority w:val="99"/>
    <w:pPr>
      <w:widowControl/>
      <w:pBdr>
        <w:top w:val="single" w:color="auto" w:sz="4" w:space="0"/>
        <w:left w:val="single" w:color="auto" w:sz="4" w:space="20"/>
        <w:bottom w:val="single" w:color="auto" w:sz="4" w:space="0"/>
        <w:right w:val="single" w:color="auto" w:sz="4" w:space="0"/>
      </w:pBdr>
      <w:shd w:val="clear" w:color="auto" w:fill="FFFF00"/>
      <w:spacing w:before="100" w:beforeAutospacing="1" w:after="100" w:afterAutospacing="1"/>
      <w:ind w:firstLine="100" w:firstLineChars="100"/>
      <w:jc w:val="left"/>
    </w:pPr>
    <w:rPr>
      <w:rFonts w:ascii="宋体" w:hAnsi="宋体" w:cs="宋体"/>
      <w:kern w:val="0"/>
      <w:sz w:val="18"/>
      <w:szCs w:val="18"/>
    </w:rPr>
  </w:style>
  <w:style w:type="paragraph" w:customStyle="1" w:styleId="77">
    <w:name w:val="xl74"/>
    <w:basedOn w:val="1"/>
    <w:qFormat/>
    <w:uiPriority w:val="99"/>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textAlignment w:val="top"/>
    </w:pPr>
    <w:rPr>
      <w:rFonts w:ascii="宋体" w:hAnsi="宋体" w:cs="宋体"/>
      <w:kern w:val="0"/>
      <w:sz w:val="18"/>
      <w:szCs w:val="18"/>
    </w:rPr>
  </w:style>
  <w:style w:type="paragraph" w:customStyle="1" w:styleId="78">
    <w:name w:val="xl75"/>
    <w:basedOn w:val="1"/>
    <w:qFormat/>
    <w:uiPriority w:val="99"/>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pPr>
    <w:rPr>
      <w:rFonts w:ascii="宋体" w:hAnsi="宋体" w:cs="宋体"/>
      <w:kern w:val="0"/>
      <w:sz w:val="18"/>
      <w:szCs w:val="18"/>
    </w:rPr>
  </w:style>
  <w:style w:type="paragraph" w:customStyle="1" w:styleId="79">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80">
    <w:name w:val="TOC 标题2"/>
    <w:basedOn w:val="2"/>
    <w:next w:val="1"/>
    <w:qFormat/>
    <w:uiPriority w:val="99"/>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49</Pages>
  <Words>4026</Words>
  <Characters>22954</Characters>
  <Lines>191</Lines>
  <Paragraphs>53</Paragraphs>
  <TotalTime>954</TotalTime>
  <ScaleCrop>false</ScaleCrop>
  <LinksUpToDate>false</LinksUpToDate>
  <CharactersWithSpaces>26927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2020-12-25T11:03:00Z</dcterms:created>
  <dc:creator>Administrator</dc:creator>
  <cp:lastModifiedBy>czlg</cp:lastModifiedBy>
  <cp:lastPrinted>2021-12-27T16:36:00Z</cp:lastPrinted>
  <dcterms:modified xsi:type="dcterms:W3CDTF">2025-09-19T09:13:53Z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48E98A29C4F943989DB93C1B491B4775</vt:lpwstr>
  </property>
</Properties>
</file>